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58" w:rsidRDefault="00597E58">
      <w:pPr>
        <w:rPr>
          <w:b/>
          <w:szCs w:val="24"/>
          <w:lang w:eastAsia="lt-LT"/>
        </w:rPr>
      </w:pPr>
    </w:p>
    <w:p w:rsidR="00597E58" w:rsidRDefault="00597E58">
      <w:pPr>
        <w:rPr>
          <w:b/>
          <w:szCs w:val="24"/>
          <w:lang w:eastAsia="lt-LT"/>
        </w:rPr>
      </w:pPr>
    </w:p>
    <w:p w:rsidR="00597E58" w:rsidRDefault="0029758D">
      <w:pPr>
        <w:jc w:val="center"/>
        <w:rPr>
          <w:lang w:eastAsia="lt-LT"/>
        </w:rPr>
      </w:pPr>
      <w:r>
        <w:rPr>
          <w:rFonts w:ascii="Arial" w:hAnsi="Arial" w:cs="Arial"/>
          <w:noProof/>
          <w:lang w:eastAsia="ko-KR"/>
        </w:rPr>
        <w:drawing>
          <wp:inline distT="0" distB="0" distL="0" distR="0" wp14:anchorId="07395652" wp14:editId="3DB1447B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58" w:rsidRDefault="00597E58">
      <w:pPr>
        <w:rPr>
          <w:sz w:val="10"/>
          <w:szCs w:val="10"/>
        </w:rPr>
      </w:pPr>
    </w:p>
    <w:p w:rsidR="00597E58" w:rsidRDefault="0029758D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597E58" w:rsidRDefault="00597E58">
      <w:pPr>
        <w:jc w:val="center"/>
        <w:rPr>
          <w:caps/>
          <w:lang w:eastAsia="lt-LT"/>
        </w:rPr>
      </w:pPr>
    </w:p>
    <w:p w:rsidR="00597E58" w:rsidRDefault="0029758D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597E58" w:rsidRDefault="0029758D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VIEŠOJO IR PRIVATAUS SEKTORIŲ PARTNERYSTĖS PROJEKTo </w:t>
      </w:r>
      <w:r>
        <w:rPr>
          <w:b/>
          <w:szCs w:val="24"/>
          <w:lang w:eastAsia="lt-LT"/>
        </w:rPr>
        <w:t>„ZARASŲ APLINKKELIO STATYBA IR PRIEŽIŪRA“</w:t>
      </w:r>
      <w:r>
        <w:rPr>
          <w:b/>
          <w:lang w:eastAsia="lt-LT"/>
        </w:rPr>
        <w:t xml:space="preserve"> </w:t>
      </w:r>
      <w:r>
        <w:rPr>
          <w:b/>
          <w:caps/>
          <w:lang w:eastAsia="lt-LT"/>
        </w:rPr>
        <w:t>ĮGYVENDINIMO</w:t>
      </w:r>
    </w:p>
    <w:p w:rsidR="00597E58" w:rsidRDefault="00597E58">
      <w:pPr>
        <w:suppressAutoHyphens/>
        <w:jc w:val="center"/>
        <w:textAlignment w:val="baseline"/>
        <w:rPr>
          <w:b/>
          <w:bCs/>
          <w:szCs w:val="24"/>
          <w:lang w:eastAsia="lt-LT"/>
        </w:rPr>
      </w:pPr>
    </w:p>
    <w:p w:rsidR="00597E58" w:rsidRDefault="0029758D" w:rsidP="0029758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2026 m. vasario 25 d. </w:t>
      </w:r>
      <w:r>
        <w:rPr>
          <w:szCs w:val="24"/>
          <w:lang w:eastAsia="lt-LT"/>
        </w:rPr>
        <w:t>Nr. 112</w:t>
      </w:r>
    </w:p>
    <w:p w:rsidR="00597E58" w:rsidRDefault="0029758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597E58" w:rsidRDefault="00597E58">
      <w:pPr>
        <w:ind w:firstLine="124"/>
        <w:rPr>
          <w:szCs w:val="24"/>
          <w:lang w:eastAsia="lt-LT"/>
        </w:rPr>
      </w:pP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investicijų įstatymo 15</w:t>
      </w:r>
      <w:r>
        <w:rPr>
          <w:szCs w:val="24"/>
          <w:vertAlign w:val="superscript"/>
          <w:lang w:eastAsia="lt-LT"/>
        </w:rPr>
        <w:t xml:space="preserve">2 </w:t>
      </w:r>
      <w:r>
        <w:rPr>
          <w:szCs w:val="24"/>
          <w:lang w:eastAsia="lt-LT"/>
        </w:rPr>
        <w:t>straipsnio 1 dalies 1 punktu, 15</w:t>
      </w:r>
      <w:r>
        <w:rPr>
          <w:szCs w:val="24"/>
          <w:vertAlign w:val="superscript"/>
          <w:lang w:eastAsia="lt-LT"/>
        </w:rPr>
        <w:t>3</w:t>
      </w:r>
      <w:r>
        <w:rPr>
          <w:szCs w:val="24"/>
          <w:lang w:eastAsia="lt-LT"/>
        </w:rPr>
        <w:t xml:space="preserve"> straipsnio 5 dalimi ir įgyvendindama Viešojo ir privataus sektorių partnerystės projektų rengimo ir įgyvendinimo taisykles, patvirtintas Lietuvos Respublikos Vyri</w:t>
      </w:r>
      <w:r>
        <w:rPr>
          <w:szCs w:val="24"/>
          <w:lang w:eastAsia="lt-LT"/>
        </w:rPr>
        <w:t xml:space="preserve">ausybės 2009 m. lapkričio 11 d. nutarimu Nr. 1480 „Dėl viešojo ir privataus sektorių partnerystės“, Lietuvos Respublikos Vyriausybė 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>. Įgyvendinti viešojo ir privataus sektorių partnerystės projektą „Zarasų aplinkkelio statyba ir priežiūra“ (t</w:t>
      </w:r>
      <w:r>
        <w:rPr>
          <w:szCs w:val="24"/>
          <w:lang w:eastAsia="lt-LT"/>
        </w:rPr>
        <w:t>oliau – VPSP projektas), kurio tikslas – tranzitinio srauto nukreipimas iš Zarasų miesto į aplinkkelį, siekiant sumažinti nelaimingų atsitikimų skaičių, pagerinti triukšmo ir oro taršos rodiklius bei siekiant užtikrinti kokybiškų, efektyvių ir saugių eismo</w:t>
      </w:r>
      <w:r>
        <w:rPr>
          <w:szCs w:val="24"/>
          <w:lang w:eastAsia="lt-LT"/>
        </w:rPr>
        <w:t xml:space="preserve"> sąlygų prieinamumą.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>. Nustatyti pagrindines VPSP projekto sąlygas: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>
        <w:rPr>
          <w:szCs w:val="24"/>
          <w:lang w:eastAsia="lt-LT"/>
        </w:rPr>
        <w:t>. VPSP projektui taikomas partnerystės būdas – valdžios ir privataus subjektų partnerystė;</w:t>
      </w:r>
      <w:r>
        <w:rPr>
          <w:lang w:eastAsia="lt-LT"/>
        </w:rPr>
        <w:t xml:space="preserve"> 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>
        <w:rPr>
          <w:szCs w:val="24"/>
          <w:lang w:eastAsia="lt-LT"/>
        </w:rPr>
        <w:t xml:space="preserve">. valdžios ir privataus subjektų partnerystės sutarties laikotarpis – iki 25 </w:t>
      </w:r>
      <w:r>
        <w:rPr>
          <w:szCs w:val="24"/>
          <w:lang w:eastAsia="lt-LT"/>
        </w:rPr>
        <w:t>metų;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>
        <w:rPr>
          <w:szCs w:val="24"/>
          <w:lang w:eastAsia="lt-LT"/>
        </w:rPr>
        <w:t>. privačiam subjektui perduodamos veiklos: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2.3.1</w:t>
      </w:r>
      <w:r>
        <w:rPr>
          <w:szCs w:val="24"/>
          <w:lang w:eastAsia="lt-LT"/>
        </w:rPr>
        <w:t>. turto – naujos susisiekimo infrastruktūros – sukūrimo veiklos, kurias sudaro projektavimas, statyba, įrengimas ir susijusios veiklos;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2.3.2</w:t>
      </w:r>
      <w:r>
        <w:rPr>
          <w:szCs w:val="24"/>
          <w:lang w:eastAsia="lt-LT"/>
        </w:rPr>
        <w:t>. sukurtos susisiekimo infrastruktūros – įrengto</w:t>
      </w:r>
      <w:r>
        <w:rPr>
          <w:szCs w:val="24"/>
          <w:lang w:eastAsia="lt-LT"/>
        </w:rPr>
        <w:t xml:space="preserve"> Zarasų aplinkkelio (turto) būklės palaikymo ir priežiūros paslaugų veiklos, kurios apima kelio nuolatinę priežiūrą ir periodinį kelio būklės palaikymo (einamąjį) remontą ir susijusias veiklas;</w:t>
      </w:r>
    </w:p>
    <w:p w:rsidR="00597E58" w:rsidRDefault="0029758D">
      <w:pPr>
        <w:tabs>
          <w:tab w:val="center" w:pos="4153"/>
          <w:tab w:val="right" w:pos="8306"/>
        </w:tabs>
        <w:spacing w:line="30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2.4</w:t>
      </w:r>
      <w:r>
        <w:rPr>
          <w:szCs w:val="24"/>
          <w:lang w:eastAsia="lt-LT"/>
        </w:rPr>
        <w:t xml:space="preserve">. viešojo sektoriaus subjekto </w:t>
      </w:r>
      <w:r>
        <w:rPr>
          <w:color w:val="000000"/>
          <w:szCs w:val="24"/>
          <w:lang w:eastAsia="lt-LT"/>
        </w:rPr>
        <w:t xml:space="preserve">įsipareigojimai, kurie </w:t>
      </w:r>
      <w:r>
        <w:rPr>
          <w:color w:val="000000"/>
          <w:szCs w:val="24"/>
          <w:lang w:eastAsia="lt-LT"/>
        </w:rPr>
        <w:t xml:space="preserve">įvertinti naudojant pinigų srautus, apskaičiuotus realiąja verte, ir išreikšti grynąja dabartine verte, – 60 959 886 </w:t>
      </w:r>
      <w:proofErr w:type="spellStart"/>
      <w:r>
        <w:rPr>
          <w:color w:val="000000"/>
          <w:szCs w:val="24"/>
          <w:lang w:eastAsia="lt-LT"/>
        </w:rPr>
        <w:t>Eur</w:t>
      </w:r>
      <w:proofErr w:type="spellEnd"/>
      <w:r>
        <w:rPr>
          <w:color w:val="000000"/>
          <w:szCs w:val="24"/>
          <w:lang w:eastAsia="lt-LT"/>
        </w:rPr>
        <w:t xml:space="preserve"> (</w:t>
      </w:r>
      <w:r>
        <w:rPr>
          <w:szCs w:val="24"/>
          <w:lang w:eastAsia="lt-LT"/>
        </w:rPr>
        <w:t>šešiasdešimt milijonų devyni šimtai penkiasdešimt devyni tūkstančiai aštuoni šimtai aštuoniasdešimt šeši</w:t>
      </w:r>
      <w:r>
        <w:rPr>
          <w:color w:val="000000"/>
          <w:szCs w:val="24"/>
          <w:lang w:eastAsia="lt-LT"/>
        </w:rPr>
        <w:t xml:space="preserve"> eurai), įskaitant pridėtinės </w:t>
      </w:r>
      <w:r>
        <w:rPr>
          <w:color w:val="000000"/>
          <w:szCs w:val="24"/>
          <w:lang w:eastAsia="lt-LT"/>
        </w:rPr>
        <w:t>vertės mokestį.</w:t>
      </w:r>
    </w:p>
    <w:p w:rsidR="00597E58" w:rsidRDefault="0029758D">
      <w:pPr>
        <w:spacing w:line="30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>
        <w:rPr>
          <w:szCs w:val="24"/>
          <w:lang w:eastAsia="lt-LT"/>
        </w:rPr>
        <w:t>. Įgalioti akcinę bendrovę „Via Lietuva“, įvykdžius Viešojo ir privataus sektorių partnerystės projektų rengimo ir įgyvendinimo taisyklėse, patvirtintose Lietuvos Respublikos Vyriausybės 2009 m. lapkričio 11 d. nutarimu Nr. 1480 „Dėl</w:t>
      </w:r>
      <w:r>
        <w:rPr>
          <w:szCs w:val="24"/>
          <w:lang w:eastAsia="lt-LT"/>
        </w:rPr>
        <w:t xml:space="preserve"> viešojo ir privataus sektorių partnerystės“, nustatytas sąlygas, pasirašyti valdžios ir privataus subjektų partnerystės sutartį ir įgyvendinti VPSP projektą.</w:t>
      </w:r>
    </w:p>
    <w:p w:rsidR="00597E58" w:rsidRDefault="00597E58">
      <w:pPr>
        <w:jc w:val="both"/>
        <w:rPr>
          <w:szCs w:val="24"/>
          <w:shd w:val="clear" w:color="auto" w:fill="FFFFFF"/>
          <w:lang w:eastAsia="lt-LT"/>
        </w:rPr>
      </w:pPr>
    </w:p>
    <w:p w:rsidR="00597E58" w:rsidRDefault="0029758D">
      <w:pPr>
        <w:jc w:val="both"/>
        <w:rPr>
          <w:lang w:eastAsia="lt-LT"/>
        </w:rPr>
      </w:pPr>
    </w:p>
    <w:p w:rsidR="00597E58" w:rsidRDefault="0029758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Ministrė Pirmininkė</w:t>
      </w:r>
      <w:r>
        <w:rPr>
          <w:lang w:eastAsia="lt-LT"/>
        </w:rPr>
        <w:tab/>
        <w:t>Inga Ruginienė</w:t>
      </w:r>
    </w:p>
    <w:p w:rsidR="00597E58" w:rsidRDefault="00597E5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597E58" w:rsidRDefault="00597E5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597E58" w:rsidRDefault="0029758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  <w:t xml:space="preserve">Juras </w:t>
      </w:r>
      <w:proofErr w:type="spellStart"/>
      <w:r>
        <w:rPr>
          <w:lang w:eastAsia="lt-LT"/>
        </w:rPr>
        <w:t>Taminskas</w:t>
      </w:r>
      <w:proofErr w:type="spellEnd"/>
    </w:p>
    <w:bookmarkStart w:id="0" w:name="_GoBack" w:displacedByCustomXml="next"/>
    <w:bookmarkEnd w:id="0" w:displacedByCustomXml="next"/>
    <w:sectPr w:rsidR="00597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E58" w:rsidRDefault="0029758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597E58" w:rsidRDefault="0029758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58" w:rsidRDefault="00597E5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58" w:rsidRDefault="00597E5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58" w:rsidRDefault="00597E5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E58" w:rsidRDefault="0029758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597E58" w:rsidRDefault="0029758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58" w:rsidRDefault="0029758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97E58" w:rsidRDefault="00597E58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58" w:rsidRDefault="0029758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</w:instrText>
    </w:r>
    <w:r>
      <w:rPr>
        <w:lang w:eastAsia="lt-LT"/>
      </w:rPr>
      <w:instrText xml:space="preserve">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:rsidR="00597E58" w:rsidRDefault="00597E58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58" w:rsidRDefault="00597E58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29758D"/>
    <w:rsid w:val="004C66E7"/>
    <w:rsid w:val="005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DFE4CB"/>
  <w15:docId w15:val="{DA7D6EC7-070F-4C91-AC1B-2BBE32C5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2195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2483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2026-02-27T07:30:00Z</dcterms:created>
  <dc:creator>lrvk</dc:creator>
  <lastModifiedBy>ŠAULYTĖ SKAIRIENĖ Dalia</lastModifiedBy>
  <lastPrinted>2019-09-30T12:12:00Z</lastPrinted>
  <dcterms:modified xsi:type="dcterms:W3CDTF">2026-02-27T07:48:00Z</dcterms:modified>
  <revision>3</revision>
</coreProperties>
</file>