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988A" w14:textId="77777777" w:rsidR="00B60379" w:rsidRPr="00012852" w:rsidRDefault="00B60379" w:rsidP="00B603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 xml:space="preserve">Viešojo ir privataus sektorių partnerystės </w:t>
      </w:r>
    </w:p>
    <w:p w14:paraId="4915A60C" w14:textId="77777777" w:rsidR="00B60379" w:rsidRPr="00012852" w:rsidRDefault="00B60379" w:rsidP="00B603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12852">
        <w:rPr>
          <w:rFonts w:ascii="Times New Roman" w:hAnsi="Times New Roman" w:cs="Times New Roman"/>
          <w:sz w:val="24"/>
          <w:szCs w:val="24"/>
        </w:rPr>
        <w:t xml:space="preserve">ikslingumo vertinimo ir partnerystės klausimyno </w:t>
      </w:r>
    </w:p>
    <w:p w14:paraId="5E8FF1E0" w14:textId="77777777" w:rsidR="00B60379" w:rsidRPr="0057252D" w:rsidRDefault="00B60379" w:rsidP="00B60379">
      <w:pPr>
        <w:tabs>
          <w:tab w:val="left" w:pos="38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>rengimo metodinių rekomendacijų</w:t>
      </w:r>
      <w:r w:rsidRPr="0001285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7252D">
        <w:rPr>
          <w:rFonts w:ascii="Times New Roman" w:hAnsi="Times New Roman" w:cs="Times New Roman"/>
          <w:sz w:val="24"/>
          <w:szCs w:val="24"/>
        </w:rPr>
        <w:t>3 priedas</w:t>
      </w:r>
    </w:p>
    <w:p w14:paraId="533EFE35" w14:textId="77777777" w:rsidR="00B60379" w:rsidRPr="00B06A1E" w:rsidRDefault="00B60379" w:rsidP="00B60379">
      <w:pPr>
        <w:jc w:val="center"/>
        <w:rPr>
          <w:rFonts w:ascii="Times New Roman" w:hAnsi="Times New Roman"/>
          <w:b/>
        </w:rPr>
      </w:pPr>
      <w:r w:rsidRPr="00B06A1E">
        <w:rPr>
          <w:rFonts w:ascii="Times New Roman" w:hAnsi="Times New Roman"/>
          <w:b/>
        </w:rPr>
        <w:t>FINANSINIŲ GALIMYBIŲ ĮGYVENDINTI VPSP PROJEKTĄ VERTINIMO LENTELĖS FORMA</w:t>
      </w:r>
      <w:r>
        <w:rPr>
          <w:rFonts w:ascii="Times New Roman" w:hAnsi="Times New Roman"/>
          <w:b/>
        </w:rPr>
        <w:t xml:space="preserve"> </w:t>
      </w: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7227"/>
        <w:gridCol w:w="2013"/>
        <w:gridCol w:w="709"/>
        <w:gridCol w:w="709"/>
        <w:gridCol w:w="567"/>
        <w:gridCol w:w="708"/>
        <w:gridCol w:w="709"/>
        <w:gridCol w:w="567"/>
        <w:gridCol w:w="854"/>
      </w:tblGrid>
      <w:tr w:rsidR="00A86A7F" w:rsidRPr="00B06A1E" w14:paraId="79470C6F" w14:textId="78711C9A" w:rsidTr="009B5B39">
        <w:trPr>
          <w:trHeight w:val="584"/>
        </w:trPr>
        <w:tc>
          <w:tcPr>
            <w:tcW w:w="8081" w:type="dxa"/>
            <w:gridSpan w:val="2"/>
            <w:vMerge w:val="restart"/>
            <w:shd w:val="clear" w:color="auto" w:fill="auto"/>
          </w:tcPr>
          <w:p w14:paraId="32AB1D4F" w14:textId="77777777" w:rsidR="00A86A7F" w:rsidRPr="00B06A1E" w:rsidRDefault="00A86A7F" w:rsidP="003D5DEC">
            <w:pPr>
              <w:rPr>
                <w:rFonts w:ascii="Times New Roman" w:hAnsi="Times New Roman"/>
                <w:b/>
              </w:rPr>
            </w:pPr>
          </w:p>
          <w:p w14:paraId="6990224F" w14:textId="067AC89A" w:rsidR="00A86A7F" w:rsidRPr="00B06A1E" w:rsidRDefault="00A86A7F" w:rsidP="00531A4F">
            <w:pPr>
              <w:jc w:val="center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Finansinių galimybių įgyvendinti </w:t>
            </w:r>
            <w:r>
              <w:rPr>
                <w:rFonts w:ascii="Times New Roman" w:hAnsi="Times New Roman"/>
                <w:b/>
              </w:rPr>
              <w:t>PP</w:t>
            </w:r>
            <w:r w:rsidRPr="00B06A1E">
              <w:rPr>
                <w:rFonts w:ascii="Times New Roman" w:hAnsi="Times New Roman"/>
                <w:b/>
              </w:rPr>
              <w:t xml:space="preserve"> vertinimas</w:t>
            </w:r>
          </w:p>
        </w:tc>
        <w:tc>
          <w:tcPr>
            <w:tcW w:w="2010" w:type="dxa"/>
          </w:tcPr>
          <w:p w14:paraId="1FD052C5" w14:textId="77777777" w:rsidR="00A86A7F" w:rsidRPr="00A86A7F" w:rsidRDefault="00A86A7F" w:rsidP="0009649A"/>
          <w:p w14:paraId="493E621F" w14:textId="5C2DC19A" w:rsidR="00A86A7F" w:rsidRPr="00B06A1E" w:rsidRDefault="00413023" w:rsidP="00531A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Laikotarpio pradžios d</w:t>
            </w:r>
            <w:r w:rsidR="00A86A7F">
              <w:rPr>
                <w:rFonts w:ascii="Times New Roman" w:hAnsi="Times New Roman"/>
              </w:rPr>
              <w:t>ata</w:t>
            </w:r>
            <w:r w:rsidR="00A86A7F" w:rsidRPr="00B06A1E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  <w:r w:rsidR="00A86A7F">
              <w:rPr>
                <w:rFonts w:ascii="Times New Roman" w:hAnsi="Times New Roman"/>
              </w:rPr>
              <w:t xml:space="preserve"> (</w:t>
            </w:r>
            <w:r w:rsidR="00A86A7F">
              <w:rPr>
                <w:rFonts w:ascii="Times New Roman" w:hAnsi="Times New Roman"/>
                <w:lang w:val="en-US"/>
              </w:rPr>
              <w:t>20XX-</w:t>
            </w:r>
            <w:r w:rsidR="005506DE">
              <w:rPr>
                <w:rFonts w:ascii="Times New Roman" w:hAnsi="Times New Roman"/>
                <w:lang w:val="en-US"/>
              </w:rPr>
              <w:t>01</w:t>
            </w:r>
            <w:r w:rsidR="00A86A7F">
              <w:rPr>
                <w:rFonts w:ascii="Times New Roman" w:hAnsi="Times New Roman"/>
                <w:lang w:val="en-US"/>
              </w:rPr>
              <w:t>-</w:t>
            </w:r>
            <w:r w:rsidR="005506DE">
              <w:rPr>
                <w:rFonts w:ascii="Times New Roman" w:hAnsi="Times New Roman"/>
                <w:lang w:val="en-US"/>
              </w:rPr>
              <w:t>0</w:t>
            </w:r>
            <w:r w:rsidR="00A86A7F">
              <w:rPr>
                <w:rFonts w:ascii="Times New Roman" w:hAnsi="Times New Roman"/>
                <w:lang w:val="en-US"/>
              </w:rPr>
              <w:t>1)</w:t>
            </w:r>
          </w:p>
        </w:tc>
        <w:tc>
          <w:tcPr>
            <w:tcW w:w="4823" w:type="dxa"/>
            <w:gridSpan w:val="7"/>
          </w:tcPr>
          <w:p w14:paraId="52E36463" w14:textId="77777777" w:rsidR="00A86A7F" w:rsidRPr="00B06A1E" w:rsidRDefault="00A86A7F" w:rsidP="00A86A7F">
            <w:pPr>
              <w:jc w:val="center"/>
              <w:rPr>
                <w:rFonts w:ascii="Times New Roman" w:hAnsi="Times New Roman"/>
              </w:rPr>
            </w:pPr>
          </w:p>
          <w:p w14:paraId="26634339" w14:textId="0B884C60" w:rsidR="00A86A7F" w:rsidRPr="00B06A1E" w:rsidRDefault="00A86A7F" w:rsidP="003D5DEC">
            <w:pPr>
              <w:ind w:firstLine="360"/>
              <w:jc w:val="center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Projekto įgyvendinimo metai</w:t>
            </w:r>
          </w:p>
        </w:tc>
      </w:tr>
      <w:tr w:rsidR="00B60379" w:rsidRPr="00B06A1E" w14:paraId="1B8E828A" w14:textId="77777777" w:rsidTr="00A22631">
        <w:trPr>
          <w:trHeight w:val="564"/>
        </w:trPr>
        <w:tc>
          <w:tcPr>
            <w:tcW w:w="8081" w:type="dxa"/>
            <w:gridSpan w:val="2"/>
            <w:vMerge/>
            <w:shd w:val="clear" w:color="auto" w:fill="auto"/>
          </w:tcPr>
          <w:p w14:paraId="35B501F9" w14:textId="77777777" w:rsidR="00B60379" w:rsidRPr="00B06A1E" w:rsidRDefault="00B60379" w:rsidP="003D5D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3" w:type="dxa"/>
          </w:tcPr>
          <w:p w14:paraId="7C198CD6" w14:textId="13D69FA2" w:rsidR="00901AC0" w:rsidRPr="00B06A1E" w:rsidRDefault="00901AC0" w:rsidP="00901AC0">
            <w:pPr>
              <w:ind w:right="-32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B3CF6B5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6CD17F74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3C136F2A" w14:textId="77777777" w:rsidR="00B60379" w:rsidRPr="00B06A1E" w:rsidRDefault="00B60379" w:rsidP="003D5DEC">
            <w:pPr>
              <w:ind w:right="-325" w:firstLine="3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509C78FF" w14:textId="77777777" w:rsidR="00B60379" w:rsidRPr="00B06A1E" w:rsidRDefault="00B60379" w:rsidP="003D5DEC">
            <w:pPr>
              <w:ind w:right="-325" w:firstLine="3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DDAA734" w14:textId="77777777" w:rsidR="00B60379" w:rsidRPr="00B06A1E" w:rsidRDefault="00B60379" w:rsidP="003D5DEC">
            <w:pPr>
              <w:ind w:right="-325" w:firstLine="33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84D4430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73DDE85" w14:textId="1EE5EA83" w:rsidR="00B60379" w:rsidRPr="00B06A1E" w:rsidRDefault="0009649A" w:rsidP="003D5DEC">
            <w:pPr>
              <w:ind w:right="-3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60379" w:rsidRPr="00B06A1E" w14:paraId="496F6E70" w14:textId="77777777" w:rsidTr="009B5B39">
        <w:trPr>
          <w:trHeight w:val="728"/>
        </w:trPr>
        <w:tc>
          <w:tcPr>
            <w:tcW w:w="852" w:type="dxa"/>
            <w:shd w:val="clear" w:color="auto" w:fill="auto"/>
          </w:tcPr>
          <w:p w14:paraId="4532A31A" w14:textId="77777777" w:rsidR="00B60379" w:rsidRPr="00531A4F" w:rsidRDefault="00B60379" w:rsidP="003D5DE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1A4F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8368B8C" w14:textId="437F4252" w:rsidR="0009649A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Metinė pinigų suma, kuria disponuoja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Pr="0009649A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  <w:r w:rsidR="0009649A">
              <w:rPr>
                <w:rFonts w:ascii="Times New Roman" w:hAnsi="Times New Roman"/>
                <w:b/>
              </w:rPr>
              <w:t>, laikotarpio pradžioje</w:t>
            </w:r>
          </w:p>
          <w:p w14:paraId="4058436D" w14:textId="37B7486F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B06A1E">
              <w:rPr>
                <w:rFonts w:ascii="Times New Roman" w:hAnsi="Times New Roman"/>
              </w:rPr>
              <w:t xml:space="preserve">Nurodoma </w:t>
            </w:r>
            <w:r w:rsidR="0009649A">
              <w:rPr>
                <w:rFonts w:ascii="Times New Roman" w:hAnsi="Times New Roman"/>
              </w:rPr>
              <w:t>Valdžios</w:t>
            </w:r>
            <w:r>
              <w:rPr>
                <w:rFonts w:ascii="Times New Roman" w:hAnsi="Times New Roman"/>
              </w:rPr>
              <w:t xml:space="preserve"> subjekto</w:t>
            </w:r>
            <w:r w:rsidRPr="00B06A1E">
              <w:rPr>
                <w:rFonts w:ascii="Times New Roman" w:hAnsi="Times New Roman"/>
              </w:rPr>
              <w:t xml:space="preserve"> gaunamų lėšų suma (išskyrus Europos Sąjungos (toliau – ES) paramos lėšų, paskirtų projektų pagrindu).</w:t>
            </w:r>
            <w:r w:rsidRPr="00B06A1E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013" w:type="dxa"/>
          </w:tcPr>
          <w:p w14:paraId="151F79ED" w14:textId="77777777" w:rsidR="00B60379" w:rsidRPr="002C066A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3953DF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76B7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85A0A1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141614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43CD91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D616FC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0E0AA52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2722C80" w14:textId="77777777" w:rsidTr="009B5B39">
        <w:trPr>
          <w:trHeight w:val="628"/>
        </w:trPr>
        <w:tc>
          <w:tcPr>
            <w:tcW w:w="852" w:type="dxa"/>
            <w:shd w:val="clear" w:color="auto" w:fill="auto"/>
          </w:tcPr>
          <w:p w14:paraId="52EC9647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94E0898" w14:textId="33FF1185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Valstybės</w:t>
            </w:r>
            <w:r>
              <w:rPr>
                <w:rFonts w:ascii="Times New Roman" w:hAnsi="Times New Roman"/>
                <w:b/>
              </w:rPr>
              <w:t xml:space="preserve"> kontroliuojamas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</w:p>
          <w:p w14:paraId="21AC9127" w14:textId="33871881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Nurodomos visos lėšos skiriamos </w:t>
            </w:r>
            <w:r>
              <w:rPr>
                <w:rFonts w:ascii="Times New Roman" w:hAnsi="Times New Roman"/>
              </w:rPr>
              <w:t>V</w:t>
            </w:r>
            <w:r w:rsidR="0009649A">
              <w:rPr>
                <w:rFonts w:ascii="Times New Roman" w:hAnsi="Times New Roman"/>
              </w:rPr>
              <w:t>aldžios</w:t>
            </w:r>
            <w:r>
              <w:rPr>
                <w:rFonts w:ascii="Times New Roman" w:hAnsi="Times New Roman"/>
              </w:rPr>
              <w:t xml:space="preserve"> subjekto</w:t>
            </w:r>
            <w:r w:rsidRPr="00B06A1E">
              <w:rPr>
                <w:rFonts w:ascii="Times New Roman" w:hAnsi="Times New Roman"/>
              </w:rPr>
              <w:t xml:space="preserve"> valdymo sričiai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 w:rsidRPr="00B06A1E">
              <w:rPr>
                <w:rFonts w:ascii="Times New Roman" w:hAnsi="Times New Roman"/>
              </w:rPr>
              <w:t>vadovaujantis Lietuvos Respublikos Vyriausybės 2010</w:t>
            </w:r>
            <w:r w:rsidR="0009649A">
              <w:rPr>
                <w:rFonts w:ascii="Times New Roman" w:hAnsi="Times New Roman"/>
              </w:rPr>
              <w:t xml:space="preserve"> </w:t>
            </w:r>
            <w:r w:rsidRPr="00B06A1E">
              <w:rPr>
                <w:rFonts w:ascii="Times New Roman" w:hAnsi="Times New Roman"/>
              </w:rPr>
              <w:t xml:space="preserve">m. kovo 24 d. nutarimu Nr. 330 „Dėl ministrams pavedamų valdymo sričių“ </w:t>
            </w:r>
          </w:p>
        </w:tc>
        <w:tc>
          <w:tcPr>
            <w:tcW w:w="2013" w:type="dxa"/>
          </w:tcPr>
          <w:p w14:paraId="7449482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A61E8D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92E76D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92F8A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F5A7FA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DE0FB9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B20D7B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5FFD3E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48AC975E" w14:textId="77777777" w:rsidTr="009B5B39">
        <w:trPr>
          <w:trHeight w:val="260"/>
        </w:trPr>
        <w:tc>
          <w:tcPr>
            <w:tcW w:w="852" w:type="dxa"/>
            <w:shd w:val="clear" w:color="auto" w:fill="auto"/>
          </w:tcPr>
          <w:p w14:paraId="6121F89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F4A0394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Asignavimai turtui įsigyti</w:t>
            </w:r>
          </w:p>
        </w:tc>
        <w:tc>
          <w:tcPr>
            <w:tcW w:w="2013" w:type="dxa"/>
          </w:tcPr>
          <w:p w14:paraId="05783F5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12319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A94C5C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874D56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652B0C3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81286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8F7994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DC0634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BE6D32E" w14:textId="77777777" w:rsidTr="009B5B39">
        <w:trPr>
          <w:trHeight w:val="299"/>
        </w:trPr>
        <w:tc>
          <w:tcPr>
            <w:tcW w:w="852" w:type="dxa"/>
            <w:shd w:val="clear" w:color="auto" w:fill="auto"/>
          </w:tcPr>
          <w:p w14:paraId="2037DA6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9C342F2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Asignavimai išlaidoms</w:t>
            </w:r>
          </w:p>
        </w:tc>
        <w:tc>
          <w:tcPr>
            <w:tcW w:w="2013" w:type="dxa"/>
          </w:tcPr>
          <w:p w14:paraId="72EBEBF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FC9644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C1A206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15A43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EE3DE8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6DDADB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15E7EA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412CB9F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148B17A2" w14:textId="77777777" w:rsidTr="009B5B39">
        <w:trPr>
          <w:trHeight w:val="304"/>
        </w:trPr>
        <w:tc>
          <w:tcPr>
            <w:tcW w:w="852" w:type="dxa"/>
            <w:shd w:val="clear" w:color="auto" w:fill="auto"/>
          </w:tcPr>
          <w:p w14:paraId="11406A20" w14:textId="60C3E8E0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F33FC01" w14:textId="1F45D096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Savivaldyb</w:t>
            </w:r>
            <w:r>
              <w:rPr>
                <w:rFonts w:ascii="Times New Roman" w:hAnsi="Times New Roman"/>
                <w:b/>
              </w:rPr>
              <w:t>ės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kontroliuojamas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</w:p>
        </w:tc>
        <w:tc>
          <w:tcPr>
            <w:tcW w:w="2013" w:type="dxa"/>
          </w:tcPr>
          <w:p w14:paraId="38579CE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42B7BE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33C030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04E499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66AECD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F0CE8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D2DE19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4433DBF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6ED6911" w14:textId="77777777" w:rsidTr="009B5B39">
        <w:trPr>
          <w:trHeight w:val="859"/>
        </w:trPr>
        <w:tc>
          <w:tcPr>
            <w:tcW w:w="852" w:type="dxa"/>
            <w:shd w:val="clear" w:color="auto" w:fill="auto"/>
          </w:tcPr>
          <w:p w14:paraId="37166776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1. 2.1.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18BE9E3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Valstybės biudžeto specialiosios tikslinės dotacijos </w:t>
            </w:r>
          </w:p>
          <w:p w14:paraId="1F98A95F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Nurodomos tikslinės dotacijos gaunamos investiciniams projektams įgyvendinti, valstybinėms (valstybės perduotoms savivaldybėms) funkcijoms vykdyti, mokinio krepšelio lėšos ir pan.</w:t>
            </w:r>
          </w:p>
        </w:tc>
        <w:tc>
          <w:tcPr>
            <w:tcW w:w="2013" w:type="dxa"/>
          </w:tcPr>
          <w:p w14:paraId="3EA6576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E733B7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5BC4D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3E3930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C8C680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180CC3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527E9E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744D6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1DA6C721" w14:textId="77777777" w:rsidTr="009B5B39">
        <w:trPr>
          <w:trHeight w:val="1046"/>
        </w:trPr>
        <w:tc>
          <w:tcPr>
            <w:tcW w:w="852" w:type="dxa"/>
            <w:shd w:val="clear" w:color="auto" w:fill="auto"/>
          </w:tcPr>
          <w:p w14:paraId="3CE49B6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lastRenderedPageBreak/>
              <w:t>1.2.2.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2B6DCE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Pajamos</w:t>
            </w:r>
          </w:p>
          <w:p w14:paraId="02203D13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Surenkami mokesčiai, turto pardavimo pajamos viešosios paslaugos vartotojų (tiek fizinių, tiek juridinių asmenų, nepriklausomai nuo jų tipo, sektoriaus ir pan.) mokėjimai viešajam sektoriui už naudojimąsi teikiamomis paslaugomis </w:t>
            </w:r>
          </w:p>
        </w:tc>
        <w:tc>
          <w:tcPr>
            <w:tcW w:w="2013" w:type="dxa"/>
          </w:tcPr>
          <w:p w14:paraId="29D3AF1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8F0A6C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33AEB3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65EB5C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7A6FBB5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B726CE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FC8E47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8F1571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B2A07D8" w14:textId="77777777" w:rsidTr="009B5B39">
        <w:trPr>
          <w:trHeight w:val="516"/>
        </w:trPr>
        <w:tc>
          <w:tcPr>
            <w:tcW w:w="852" w:type="dxa"/>
            <w:shd w:val="clear" w:color="auto" w:fill="auto"/>
          </w:tcPr>
          <w:p w14:paraId="2231F231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1.2.3.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124F3ED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Dotacijos iš kito valdymo lygio </w:t>
            </w:r>
          </w:p>
          <w:p w14:paraId="31AEB8CB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Nurodomos dotacijos, gaunamos iš kitų institucijų, skirtos kapitalui formuoti ir veiklai vykdyti (išskyrus ES paramos lėšų, paskirtų projektų pagrindu)</w:t>
            </w:r>
          </w:p>
        </w:tc>
        <w:tc>
          <w:tcPr>
            <w:tcW w:w="2013" w:type="dxa"/>
          </w:tcPr>
          <w:p w14:paraId="16F41A9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DACDA5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B40FA0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C4776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A26296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50F0C9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D63C5B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7A4DFC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4BC3D2F" w14:textId="77777777" w:rsidTr="009B5B39">
        <w:trPr>
          <w:trHeight w:val="1094"/>
        </w:trPr>
        <w:tc>
          <w:tcPr>
            <w:tcW w:w="852" w:type="dxa"/>
            <w:shd w:val="clear" w:color="auto" w:fill="auto"/>
          </w:tcPr>
          <w:p w14:paraId="167BE3E8" w14:textId="77777777" w:rsidR="00B60379" w:rsidRPr="00531A4F" w:rsidRDefault="00B60379" w:rsidP="003D5DE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1A4F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E2E744" w14:textId="222A8A12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Valstybės </w:t>
            </w:r>
            <w:r>
              <w:rPr>
                <w:rFonts w:ascii="Times New Roman" w:hAnsi="Times New Roman"/>
                <w:b/>
              </w:rPr>
              <w:t>kontroliuojamo Viešojo subjekto</w:t>
            </w:r>
            <w:r w:rsidRPr="00B06A1E">
              <w:rPr>
                <w:rFonts w:ascii="Times New Roman" w:hAnsi="Times New Roman"/>
                <w:b/>
              </w:rPr>
              <w:t xml:space="preserve"> turimi įsipareigojimai ir vykdomos prievolės (2.1+2.2+2.3</w:t>
            </w:r>
            <w:r w:rsidR="0009649A">
              <w:rPr>
                <w:rFonts w:ascii="Times New Roman" w:hAnsi="Times New Roman"/>
                <w:b/>
              </w:rPr>
              <w:t>+2.4.</w:t>
            </w:r>
            <w:r w:rsidRPr="00B06A1E">
              <w:rPr>
                <w:rFonts w:ascii="Times New Roman" w:hAnsi="Times New Roman"/>
                <w:b/>
              </w:rPr>
              <w:t>)</w:t>
            </w:r>
          </w:p>
          <w:p w14:paraId="00CEE716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>Nurodomos visos jau sudarytų ilgalaikių sutarčių su privačiais juridiniais asmenimis vykdymui reikalingos lėšos</w:t>
            </w:r>
          </w:p>
        </w:tc>
        <w:tc>
          <w:tcPr>
            <w:tcW w:w="2013" w:type="dxa"/>
          </w:tcPr>
          <w:p w14:paraId="1C83E02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A3A211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31533A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F6C901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2E1680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C5F9C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AF330B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0EA1801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E8B9FFA" w14:textId="77777777" w:rsidTr="009B5B39">
        <w:trPr>
          <w:trHeight w:val="1121"/>
        </w:trPr>
        <w:tc>
          <w:tcPr>
            <w:tcW w:w="852" w:type="dxa"/>
            <w:shd w:val="clear" w:color="auto" w:fill="auto"/>
          </w:tcPr>
          <w:p w14:paraId="248428D1" w14:textId="56C9B550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D1E8D40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Investicijų projektų vykdymas </w:t>
            </w:r>
          </w:p>
          <w:p w14:paraId="181DBA5A" w14:textId="7C03CCEE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Nurodomos </w:t>
            </w:r>
            <w:r>
              <w:rPr>
                <w:rFonts w:ascii="Times New Roman" w:hAnsi="Times New Roman"/>
              </w:rPr>
              <w:t>Viešojo subjekto pradėtų vykdyti</w:t>
            </w:r>
            <w:r w:rsidRPr="00B06A1E">
              <w:rPr>
                <w:rFonts w:ascii="Times New Roman" w:hAnsi="Times New Roman"/>
              </w:rPr>
              <w:t xml:space="preserve"> investicijų projektų sumos kiekvienais ataskaitinio laikotarpio metais. Investicijų išlaidos, kai investuojama įgyvendinant ES struktūrinių fondų ir kitos negrąžintinos paramos lėšomis finansuojamus </w:t>
            </w:r>
            <w:r w:rsidR="002C066A">
              <w:rPr>
                <w:rFonts w:ascii="Times New Roman" w:hAnsi="Times New Roman"/>
              </w:rPr>
              <w:t xml:space="preserve">investicijų </w:t>
            </w:r>
            <w:r w:rsidRPr="00B06A1E">
              <w:rPr>
                <w:rFonts w:ascii="Times New Roman" w:hAnsi="Times New Roman"/>
              </w:rPr>
              <w:t xml:space="preserve">projektus, į šią eilutę įtraukiamos tik ta dalimi, kuria </w:t>
            </w:r>
            <w:r>
              <w:rPr>
                <w:rFonts w:ascii="Times New Roman" w:hAnsi="Times New Roman"/>
              </w:rPr>
              <w:t>V</w:t>
            </w:r>
            <w:r w:rsidRPr="00B06A1E">
              <w:rPr>
                <w:rFonts w:ascii="Times New Roman" w:hAnsi="Times New Roman"/>
              </w:rPr>
              <w:t>ieš</w:t>
            </w:r>
            <w:r>
              <w:rPr>
                <w:rFonts w:ascii="Times New Roman" w:hAnsi="Times New Roman"/>
              </w:rPr>
              <w:t>asis</w:t>
            </w:r>
            <w:r w:rsidRPr="00B06A1E">
              <w:rPr>
                <w:rFonts w:ascii="Times New Roman" w:hAnsi="Times New Roman"/>
              </w:rPr>
              <w:t xml:space="preserve"> subjektas pats prisideda prie </w:t>
            </w:r>
            <w:r w:rsidR="002C066A">
              <w:rPr>
                <w:rFonts w:ascii="Times New Roman" w:hAnsi="Times New Roman"/>
              </w:rPr>
              <w:t xml:space="preserve">investicijų </w:t>
            </w:r>
            <w:r w:rsidRPr="00B06A1E">
              <w:rPr>
                <w:rFonts w:ascii="Times New Roman" w:hAnsi="Times New Roman"/>
              </w:rPr>
              <w:t xml:space="preserve">projektų įgyvendinimo. </w:t>
            </w:r>
          </w:p>
        </w:tc>
        <w:tc>
          <w:tcPr>
            <w:tcW w:w="2013" w:type="dxa"/>
          </w:tcPr>
          <w:p w14:paraId="4782C9F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F8AD63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C48820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4B1FB9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B0EE6D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5BB9FE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9F21EC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894C66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ED78252" w14:textId="77777777" w:rsidTr="009B5B39">
        <w:trPr>
          <w:trHeight w:val="393"/>
        </w:trPr>
        <w:tc>
          <w:tcPr>
            <w:tcW w:w="852" w:type="dxa"/>
            <w:shd w:val="clear" w:color="auto" w:fill="auto"/>
          </w:tcPr>
          <w:p w14:paraId="0D8515C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5A08872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Viešojo subjekto</w:t>
            </w:r>
            <w:r w:rsidRPr="00B06A1E">
              <w:rPr>
                <w:rFonts w:ascii="Times New Roman" w:hAnsi="Times New Roman"/>
              </w:rPr>
              <w:t xml:space="preserve"> lėšos skiriamos pradėtiems investiciniams projektams įgyvendinti</w:t>
            </w:r>
          </w:p>
        </w:tc>
        <w:tc>
          <w:tcPr>
            <w:tcW w:w="2013" w:type="dxa"/>
          </w:tcPr>
          <w:p w14:paraId="3A9F568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DC66B9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019E90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D0C95D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76DD48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222DB1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E3CDC0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6FD2A38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4B19509F" w14:textId="77777777" w:rsidTr="009B5B39">
        <w:trPr>
          <w:trHeight w:val="555"/>
        </w:trPr>
        <w:tc>
          <w:tcPr>
            <w:tcW w:w="852" w:type="dxa"/>
            <w:shd w:val="clear" w:color="auto" w:fill="auto"/>
          </w:tcPr>
          <w:p w14:paraId="2CAF8AB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56A2D61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</w:t>
            </w:r>
            <w:r w:rsidRPr="00B06A1E">
              <w:rPr>
                <w:rStyle w:val="FootnoteReference"/>
                <w:rFonts w:ascii="Times New Roman" w:hAnsi="Times New Roman"/>
                <w:b/>
              </w:rPr>
              <w:footnoteReference w:id="3"/>
            </w:r>
            <w:r w:rsidRPr="00B06A1E">
              <w:rPr>
                <w:rFonts w:ascii="Times New Roman" w:hAnsi="Times New Roman"/>
              </w:rPr>
              <w:t xml:space="preserve">, gautų investiciniams projektams įgyvendinti grąžinimas </w:t>
            </w:r>
          </w:p>
          <w:p w14:paraId="355BCF56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(paskolų grąžinimo sumos kiekvienais ataskaitinio laikotarpio metais, remiantis jau pasirašytų paskolų sutarčių grąžinimo grafikais)</w:t>
            </w:r>
          </w:p>
        </w:tc>
        <w:tc>
          <w:tcPr>
            <w:tcW w:w="2013" w:type="dxa"/>
          </w:tcPr>
          <w:p w14:paraId="1E2DDBB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0524A7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0000C1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CDD1CD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39A8EE7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0D18DE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23D604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7A39F0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099915D6" w14:textId="77777777" w:rsidTr="009B5B39">
        <w:trPr>
          <w:trHeight w:val="753"/>
        </w:trPr>
        <w:tc>
          <w:tcPr>
            <w:tcW w:w="852" w:type="dxa"/>
            <w:shd w:val="clear" w:color="auto" w:fill="auto"/>
          </w:tcPr>
          <w:p w14:paraId="2536C59F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14820C8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Paskolų, gautų investiciniams projektams įgyvendinti, aptarnavimo išlaidos</w:t>
            </w:r>
          </w:p>
          <w:p w14:paraId="071E5F18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 palūkanų sumos kiekvienais ataskaitinio laikotarpio metais, remiantis jau pasirašytų paskolų sutarčių grąžinimo grafikais</w:t>
            </w:r>
          </w:p>
        </w:tc>
        <w:tc>
          <w:tcPr>
            <w:tcW w:w="2013" w:type="dxa"/>
          </w:tcPr>
          <w:p w14:paraId="3332C54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DC813E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B08B9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2E6FCC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27D87D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4CFFEB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A6BAF9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103CDA8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2A1B5454" w14:textId="77777777" w:rsidTr="009B5B39">
        <w:trPr>
          <w:trHeight w:val="778"/>
        </w:trPr>
        <w:tc>
          <w:tcPr>
            <w:tcW w:w="852" w:type="dxa"/>
            <w:shd w:val="clear" w:color="auto" w:fill="auto"/>
          </w:tcPr>
          <w:p w14:paraId="50E7789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B098454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Ilgalaikės sutartys, susijusios su veiklos vykdymu </w:t>
            </w:r>
          </w:p>
          <w:p w14:paraId="17267E0F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Nurodomos lėšos, reikalingos </w:t>
            </w:r>
            <w:r>
              <w:rPr>
                <w:rFonts w:ascii="Times New Roman" w:hAnsi="Times New Roman"/>
              </w:rPr>
              <w:t>Viešojo subjekto</w:t>
            </w:r>
            <w:r w:rsidRPr="00B06A1E">
              <w:rPr>
                <w:rFonts w:ascii="Times New Roman" w:hAnsi="Times New Roman"/>
              </w:rPr>
              <w:t xml:space="preserve"> su privačiais </w:t>
            </w:r>
            <w:r>
              <w:rPr>
                <w:rFonts w:ascii="Times New Roman" w:hAnsi="Times New Roman"/>
              </w:rPr>
              <w:t>juridiniais asmenimis</w:t>
            </w:r>
            <w:r w:rsidRPr="00B06A1E">
              <w:rPr>
                <w:rFonts w:ascii="Times New Roman" w:hAnsi="Times New Roman"/>
              </w:rPr>
              <w:t xml:space="preserve"> sudarytoms ilgalaikėms sutartims dėl </w:t>
            </w:r>
            <w:r>
              <w:rPr>
                <w:rFonts w:ascii="Times New Roman" w:hAnsi="Times New Roman"/>
              </w:rPr>
              <w:t>Paslaugos teikimo</w:t>
            </w:r>
            <w:r w:rsidRPr="00B06A1E">
              <w:rPr>
                <w:rFonts w:ascii="Times New Roman" w:hAnsi="Times New Roman"/>
              </w:rPr>
              <w:t xml:space="preserve"> vykdyti, kiekvienais ataskaitinio laikotarpio metais</w:t>
            </w:r>
          </w:p>
        </w:tc>
        <w:tc>
          <w:tcPr>
            <w:tcW w:w="2013" w:type="dxa"/>
          </w:tcPr>
          <w:p w14:paraId="3ABEBC5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24D67D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E94BEE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B6D698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F77562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0313A1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B8F2E7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6EF78E4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06613A47" w14:textId="77777777" w:rsidTr="009B5B39">
        <w:trPr>
          <w:trHeight w:val="226"/>
        </w:trPr>
        <w:tc>
          <w:tcPr>
            <w:tcW w:w="852" w:type="dxa"/>
            <w:shd w:val="clear" w:color="auto" w:fill="auto"/>
          </w:tcPr>
          <w:p w14:paraId="757ED615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DE7CCFB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Kitos (nurodykite)</w:t>
            </w:r>
          </w:p>
        </w:tc>
        <w:tc>
          <w:tcPr>
            <w:tcW w:w="2013" w:type="dxa"/>
          </w:tcPr>
          <w:p w14:paraId="60AF7BA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727473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8E35C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5680B7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38C457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751EEC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D4113A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49B56E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9D5D2A" w:rsidRPr="00B06A1E" w14:paraId="04685D65" w14:textId="77777777" w:rsidTr="009B5B39">
        <w:trPr>
          <w:trHeight w:val="226"/>
        </w:trPr>
        <w:tc>
          <w:tcPr>
            <w:tcW w:w="852" w:type="dxa"/>
            <w:shd w:val="clear" w:color="auto" w:fill="auto"/>
          </w:tcPr>
          <w:p w14:paraId="5425F851" w14:textId="0996D10A" w:rsidR="009D5D2A" w:rsidRPr="009B5B39" w:rsidRDefault="009D5D2A" w:rsidP="003D5DE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2.4.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FB42107" w14:textId="78739AF2" w:rsidR="009D5D2A" w:rsidRPr="00B06A1E" w:rsidRDefault="009D5D2A" w:rsidP="00531A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Planuojami įgyvendinti </w:t>
            </w:r>
            <w:r w:rsidR="002C066A">
              <w:rPr>
                <w:rFonts w:ascii="Times New Roman" w:hAnsi="Times New Roman"/>
              </w:rPr>
              <w:t>IP</w:t>
            </w:r>
            <w:r w:rsidR="009B5B39" w:rsidRPr="00B06A1E">
              <w:rPr>
                <w:rStyle w:val="FootnoteReference"/>
                <w:rFonts w:ascii="Times New Roman" w:hAnsi="Times New Roman"/>
                <w:b/>
              </w:rPr>
              <w:footnoteReference w:id="4"/>
            </w:r>
          </w:p>
        </w:tc>
        <w:tc>
          <w:tcPr>
            <w:tcW w:w="2013" w:type="dxa"/>
          </w:tcPr>
          <w:p w14:paraId="4C63EF12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0D7641A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227F5C3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20C1C25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5A09D46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DBE3422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4E2F4EA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11DA7287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52B2B76" w14:textId="77777777" w:rsidTr="009B5B39">
        <w:trPr>
          <w:trHeight w:val="893"/>
        </w:trPr>
        <w:tc>
          <w:tcPr>
            <w:tcW w:w="852" w:type="dxa"/>
            <w:shd w:val="clear" w:color="auto" w:fill="auto"/>
          </w:tcPr>
          <w:p w14:paraId="5B057A5A" w14:textId="77777777" w:rsidR="00B60379" w:rsidRPr="00531A4F" w:rsidRDefault="00B60379" w:rsidP="003D5DE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1A4F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C33B040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Disponuojamos lėšų sumos ir turimų sutartinių įsipareigojimų skirtumas (galimybė prisiimti naujus įsipareigojimus) (1-2)</w:t>
            </w:r>
          </w:p>
          <w:p w14:paraId="65FD741E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Užpildoma naudojant šios lentelės 1-2 eilučių duomenis: tai aritmetinis 1 ir 2 eilutės skirtumas. Šios eilutės paskirtis – </w:t>
            </w:r>
            <w:r>
              <w:rPr>
                <w:rFonts w:ascii="Times New Roman" w:hAnsi="Times New Roman"/>
              </w:rPr>
              <w:t>V</w:t>
            </w:r>
            <w:r w:rsidRPr="00B06A1E">
              <w:rPr>
                <w:rFonts w:ascii="Times New Roman" w:hAnsi="Times New Roman"/>
              </w:rPr>
              <w:t xml:space="preserve">iešojo </w:t>
            </w:r>
            <w:r>
              <w:rPr>
                <w:rFonts w:ascii="Times New Roman" w:hAnsi="Times New Roman"/>
              </w:rPr>
              <w:t>subjekto</w:t>
            </w:r>
            <w:r w:rsidRPr="00B06A1E">
              <w:rPr>
                <w:rFonts w:ascii="Times New Roman" w:hAnsi="Times New Roman"/>
              </w:rPr>
              <w:t xml:space="preserve"> disponuojamų finansinių išteklių balanso įvertinimas ir sumos, kurios ribose galimas lėšų perskirstymas bei naujų įsipareigojimų prisiėmimas, įvertinimas</w:t>
            </w:r>
          </w:p>
        </w:tc>
        <w:tc>
          <w:tcPr>
            <w:tcW w:w="2013" w:type="dxa"/>
          </w:tcPr>
          <w:p w14:paraId="475CA041" w14:textId="77777777" w:rsidR="00B60379" w:rsidRPr="002C066A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77CB30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5ED167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382D36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CF4F4E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C641DA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7D18FE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5D8AE9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B542322" w14:textId="77777777" w:rsidTr="009B5B39">
        <w:trPr>
          <w:trHeight w:val="576"/>
        </w:trPr>
        <w:tc>
          <w:tcPr>
            <w:tcW w:w="852" w:type="dxa"/>
            <w:shd w:val="clear" w:color="auto" w:fill="auto"/>
          </w:tcPr>
          <w:p w14:paraId="542F0E4E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C44A845" w14:textId="3B53F1E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Skolinimosi limitas</w:t>
            </w:r>
            <w:r w:rsidR="00791494" w:rsidRPr="00B06A1E">
              <w:rPr>
                <w:rStyle w:val="FootnoteReference"/>
                <w:rFonts w:ascii="Times New Roman" w:hAnsi="Times New Roman"/>
                <w:b/>
              </w:rPr>
              <w:footnoteReference w:id="5"/>
            </w:r>
          </w:p>
          <w:p w14:paraId="60F8220D" w14:textId="77777777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Jei taikoma, nurodomas konkretus skolinimosi limitas kiekvienais prognozuojamais ataskaitinio laikotarpio metais. </w:t>
            </w:r>
          </w:p>
        </w:tc>
        <w:tc>
          <w:tcPr>
            <w:tcW w:w="2013" w:type="dxa"/>
          </w:tcPr>
          <w:p w14:paraId="2A3F356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5F05A6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0C80A4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53F849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0CD4D5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F1C334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7E8A70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535B944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79CBF62" w14:textId="77777777" w:rsidTr="009B5B39">
        <w:trPr>
          <w:trHeight w:val="760"/>
        </w:trPr>
        <w:tc>
          <w:tcPr>
            <w:tcW w:w="852" w:type="dxa"/>
            <w:shd w:val="clear" w:color="auto" w:fill="auto"/>
          </w:tcPr>
          <w:p w14:paraId="65D4CA28" w14:textId="77777777" w:rsidR="00B60379" w:rsidRPr="0009649A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09649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44E711D" w14:textId="3B807BFE" w:rsidR="00B60379" w:rsidRPr="009B5B39" w:rsidRDefault="0000116D" w:rsidP="00531A4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Metinė pinigų suma, kuria </w:t>
            </w:r>
            <w:r>
              <w:rPr>
                <w:rFonts w:ascii="Times New Roman" w:hAnsi="Times New Roman"/>
                <w:b/>
              </w:rPr>
              <w:t>gali disponuoti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 w:rsidR="009B5B39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="00563644" w:rsidRPr="00531A4F">
              <w:t xml:space="preserve">, </w:t>
            </w:r>
            <w:r w:rsidR="00563644" w:rsidRPr="00531A4F">
              <w:rPr>
                <w:rFonts w:ascii="Times New Roman" w:hAnsi="Times New Roman" w:cs="Times New Roman"/>
                <w:b/>
              </w:rPr>
              <w:t>įvertinus skolinimosi limitą</w:t>
            </w:r>
            <w:r w:rsidR="0009649A" w:rsidRPr="009B5B39">
              <w:rPr>
                <w:rFonts w:ascii="Times New Roman" w:hAnsi="Times New Roman" w:cs="Times New Roman"/>
                <w:b/>
              </w:rPr>
              <w:t xml:space="preserve"> </w:t>
            </w:r>
            <w:r w:rsidR="00B60379" w:rsidRPr="009B5B39">
              <w:rPr>
                <w:rFonts w:ascii="Times New Roman" w:hAnsi="Times New Roman" w:cs="Times New Roman"/>
                <w:b/>
              </w:rPr>
              <w:t>(4</w:t>
            </w:r>
            <w:r w:rsidR="009B6BD0" w:rsidRPr="009B5B39">
              <w:rPr>
                <w:rFonts w:ascii="Times New Roman" w:hAnsi="Times New Roman" w:cs="Times New Roman"/>
                <w:b/>
              </w:rPr>
              <w:t>+</w:t>
            </w:r>
            <w:r w:rsidR="00B60379" w:rsidRPr="009B5B39">
              <w:rPr>
                <w:rFonts w:ascii="Times New Roman" w:hAnsi="Times New Roman" w:cs="Times New Roman"/>
                <w:b/>
              </w:rPr>
              <w:t>3)</w:t>
            </w:r>
            <w:r w:rsidR="00B60379" w:rsidRPr="009B5B39">
              <w:rPr>
                <w:rFonts w:ascii="Times New Roman" w:hAnsi="Times New Roman" w:cs="Times New Roman"/>
              </w:rPr>
              <w:t xml:space="preserve"> </w:t>
            </w:r>
          </w:p>
          <w:p w14:paraId="505614AA" w14:textId="1071FCCF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>Užpildoma naudojant šios lentelės 3 ir 4 eilučių duomenis: tai aritmetin</w:t>
            </w:r>
            <w:r w:rsidR="009B6BD0">
              <w:rPr>
                <w:rFonts w:ascii="Times New Roman" w:hAnsi="Times New Roman"/>
              </w:rPr>
              <w:t>ė</w:t>
            </w:r>
            <w:r w:rsidRPr="00B06A1E">
              <w:rPr>
                <w:rFonts w:ascii="Times New Roman" w:hAnsi="Times New Roman"/>
              </w:rPr>
              <w:t xml:space="preserve">  ir 3 eilučių </w:t>
            </w:r>
            <w:r w:rsidR="009B6BD0">
              <w:rPr>
                <w:rFonts w:ascii="Times New Roman" w:hAnsi="Times New Roman"/>
              </w:rPr>
              <w:t>suma</w:t>
            </w:r>
            <w:r w:rsidRPr="00B06A1E">
              <w:rPr>
                <w:rFonts w:ascii="Times New Roman" w:hAnsi="Times New Roman"/>
              </w:rPr>
              <w:t xml:space="preserve">. Teigiamas rezultatas parodo, kad </w:t>
            </w:r>
            <w:r w:rsidR="009B6BD0">
              <w:rPr>
                <w:rFonts w:ascii="Times New Roman" w:hAnsi="Times New Roman"/>
              </w:rPr>
              <w:t xml:space="preserve">Viešasis subjektas </w:t>
            </w:r>
            <w:r w:rsidR="00561AA0">
              <w:rPr>
                <w:rFonts w:ascii="Times New Roman" w:hAnsi="Times New Roman"/>
              </w:rPr>
              <w:t>disponuoja laisvomis lėšomis</w:t>
            </w:r>
            <w:r w:rsidRPr="00B06A1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13" w:type="dxa"/>
          </w:tcPr>
          <w:p w14:paraId="1163A14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62E699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D94E4E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41E23B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34E283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869609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DAAFA1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349F73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E0F12B0" w14:textId="77777777" w:rsidTr="009B5B39">
        <w:trPr>
          <w:trHeight w:val="855"/>
        </w:trPr>
        <w:tc>
          <w:tcPr>
            <w:tcW w:w="852" w:type="dxa"/>
            <w:shd w:val="clear" w:color="auto" w:fill="auto"/>
          </w:tcPr>
          <w:p w14:paraId="0366EF5E" w14:textId="77777777" w:rsidR="00B60379" w:rsidRPr="0009649A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09649A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EF997AE" w14:textId="33C3ED4E" w:rsidR="00B60379" w:rsidRPr="0009649A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09649A">
              <w:rPr>
                <w:rFonts w:ascii="Times New Roman" w:hAnsi="Times New Roman"/>
                <w:b/>
              </w:rPr>
              <w:t>Lėšų poreikis vertinamam PP įgyvendinti</w:t>
            </w:r>
            <w:r w:rsidR="00791494" w:rsidRPr="00B06A1E">
              <w:rPr>
                <w:rStyle w:val="FootnoteReference"/>
                <w:rFonts w:ascii="Times New Roman" w:hAnsi="Times New Roman"/>
                <w:b/>
              </w:rPr>
              <w:footnoteReference w:id="6"/>
            </w:r>
          </w:p>
          <w:p w14:paraId="683CC055" w14:textId="3465E9B4" w:rsidR="00B60379" w:rsidRPr="00B06A1E" w:rsidRDefault="00B60379" w:rsidP="00531A4F">
            <w:pPr>
              <w:spacing w:after="0"/>
              <w:jc w:val="both"/>
              <w:rPr>
                <w:rFonts w:ascii="Times New Roman" w:hAnsi="Times New Roman"/>
              </w:rPr>
            </w:pPr>
            <w:r w:rsidRPr="0009649A">
              <w:rPr>
                <w:rFonts w:ascii="Times New Roman" w:hAnsi="Times New Roman"/>
              </w:rPr>
              <w:t>Nurodoma</w:t>
            </w:r>
            <w:r w:rsidR="00561AA0" w:rsidRPr="0009649A">
              <w:rPr>
                <w:rFonts w:ascii="Times New Roman" w:hAnsi="Times New Roman"/>
              </w:rPr>
              <w:t>s</w:t>
            </w:r>
            <w:r w:rsidRPr="0009649A">
              <w:rPr>
                <w:rFonts w:ascii="Times New Roman" w:hAnsi="Times New Roman"/>
              </w:rPr>
              <w:t xml:space="preserve"> Viešojo subjekto </w:t>
            </w:r>
            <w:r w:rsidR="00561AA0" w:rsidRPr="0009649A">
              <w:rPr>
                <w:rFonts w:ascii="Times New Roman" w:hAnsi="Times New Roman"/>
              </w:rPr>
              <w:t xml:space="preserve">metinio atlyginimo </w:t>
            </w:r>
            <w:r w:rsidRPr="0009649A">
              <w:rPr>
                <w:rFonts w:ascii="Times New Roman" w:hAnsi="Times New Roman"/>
              </w:rPr>
              <w:t xml:space="preserve">mokėjimų </w:t>
            </w:r>
            <w:r w:rsidR="00561AA0" w:rsidRPr="0009649A">
              <w:rPr>
                <w:rFonts w:ascii="Times New Roman" w:hAnsi="Times New Roman"/>
              </w:rPr>
              <w:t xml:space="preserve">dydis </w:t>
            </w:r>
            <w:r w:rsidRPr="0009649A">
              <w:rPr>
                <w:rFonts w:ascii="Times New Roman" w:hAnsi="Times New Roman"/>
              </w:rPr>
              <w:t>Privačiam subjektui (nominalia išraiška)</w:t>
            </w:r>
            <w:r w:rsidR="00561AA0" w:rsidRPr="0009649A">
              <w:rPr>
                <w:rFonts w:ascii="Times New Roman" w:hAnsi="Times New Roman"/>
              </w:rPr>
              <w:t>.</w:t>
            </w:r>
          </w:p>
        </w:tc>
        <w:tc>
          <w:tcPr>
            <w:tcW w:w="2013" w:type="dxa"/>
          </w:tcPr>
          <w:p w14:paraId="7DAB59B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19D9D5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6AA071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3DFF50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1C89D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84D72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E1BB52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800B43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9B6BD0" w:rsidRPr="00B06A1E" w14:paraId="3DCABCC9" w14:textId="77777777" w:rsidTr="009B5B39">
        <w:trPr>
          <w:trHeight w:val="855"/>
        </w:trPr>
        <w:tc>
          <w:tcPr>
            <w:tcW w:w="852" w:type="dxa"/>
            <w:shd w:val="clear" w:color="auto" w:fill="auto"/>
          </w:tcPr>
          <w:p w14:paraId="634CC490" w14:textId="77777777" w:rsidR="009B6BD0" w:rsidRPr="009B5B39" w:rsidRDefault="009B6BD0" w:rsidP="003D5DEC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09649A">
              <w:rPr>
                <w:rFonts w:ascii="Times New Roman" w:hAnsi="Times New Roman"/>
                <w:b/>
                <w:lang w:val="en-US"/>
              </w:rPr>
              <w:t xml:space="preserve">7. 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4C4973B" w14:textId="77777777" w:rsidR="0009649A" w:rsidRDefault="009B6BD0" w:rsidP="00531A4F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Viešojo subjekto disponuojamos lėšos, įvertinus </w:t>
            </w:r>
            <w:r w:rsidRPr="009B6BD0">
              <w:rPr>
                <w:rFonts w:ascii="Times New Roman" w:hAnsi="Times New Roman"/>
                <w:b/>
              </w:rPr>
              <w:t>metinio atlyginimo mokėjimą Privačiam subjektui</w:t>
            </w:r>
            <w:r w:rsidR="00561AA0">
              <w:rPr>
                <w:rFonts w:ascii="Times New Roman" w:hAnsi="Times New Roman"/>
                <w:b/>
              </w:rPr>
              <w:t xml:space="preserve"> (</w:t>
            </w:r>
            <w:r w:rsidR="00561AA0">
              <w:rPr>
                <w:rFonts w:ascii="Times New Roman" w:hAnsi="Times New Roman"/>
                <w:b/>
                <w:lang w:val="en-US"/>
              </w:rPr>
              <w:t xml:space="preserve">5-6). </w:t>
            </w:r>
          </w:p>
          <w:p w14:paraId="131DA993" w14:textId="1689EFE3" w:rsidR="009B6BD0" w:rsidRPr="00B06A1E" w:rsidRDefault="00561AA0" w:rsidP="00531A4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9B5B39">
              <w:rPr>
                <w:rFonts w:ascii="Times New Roman" w:hAnsi="Times New Roman"/>
              </w:rPr>
              <w:t xml:space="preserve">Užpildoma naudojant šios lentelės </w:t>
            </w:r>
            <w:r w:rsidRPr="009B5B39">
              <w:rPr>
                <w:rFonts w:ascii="Times New Roman" w:hAnsi="Times New Roman"/>
                <w:lang w:val="en-US"/>
              </w:rPr>
              <w:t>5 ir 6 eilu</w:t>
            </w:r>
            <w:r w:rsidRPr="009B5B39">
              <w:rPr>
                <w:rFonts w:ascii="Times New Roman" w:hAnsi="Times New Roman"/>
              </w:rPr>
              <w:t xml:space="preserve">čių duomenis: tai aritmetinis </w:t>
            </w:r>
            <w:r w:rsidRPr="009B5B39">
              <w:rPr>
                <w:rFonts w:ascii="Times New Roman" w:hAnsi="Times New Roman"/>
                <w:lang w:val="en-US"/>
              </w:rPr>
              <w:t>5 ir 6 eilu</w:t>
            </w:r>
            <w:r w:rsidRPr="009B5B39">
              <w:rPr>
                <w:rFonts w:ascii="Times New Roman" w:hAnsi="Times New Roman"/>
              </w:rPr>
              <w:t xml:space="preserve">čių skirtumas. Teigiamas rezultatas </w:t>
            </w:r>
            <w:r w:rsidR="00B74DC3" w:rsidRPr="00B74DC3">
              <w:rPr>
                <w:rFonts w:ascii="Times New Roman" w:hAnsi="Times New Roman"/>
              </w:rPr>
              <w:t>parodo, kad Viešo</w:t>
            </w:r>
            <w:r w:rsidRPr="009B5B39">
              <w:rPr>
                <w:rFonts w:ascii="Times New Roman" w:hAnsi="Times New Roman"/>
              </w:rPr>
              <w:t>jo subjekto finansinės galimybės įgyvendinti PP yra pagrįstos.</w:t>
            </w:r>
          </w:p>
        </w:tc>
        <w:tc>
          <w:tcPr>
            <w:tcW w:w="2013" w:type="dxa"/>
          </w:tcPr>
          <w:p w14:paraId="73FF1709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C239BAC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D17E270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3856AB12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6FED96D8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8C0DD59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9F862FD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8FA84EF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</w:tbl>
    <w:p w14:paraId="25B93D84" w14:textId="77777777" w:rsidR="00B60379" w:rsidRPr="00AD7231" w:rsidRDefault="00B60379" w:rsidP="00B6037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73F5893" w14:textId="77777777" w:rsidR="009B5B39" w:rsidRDefault="009B5B39" w:rsidP="009B5B39">
      <w:pPr>
        <w:tabs>
          <w:tab w:val="left" w:pos="284"/>
          <w:tab w:val="left" w:pos="567"/>
          <w:tab w:val="left" w:pos="3825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1518053" w14:textId="74A3B40D" w:rsidR="00C8237A" w:rsidRPr="009B5B39" w:rsidRDefault="009B5B39" w:rsidP="009B5B39">
      <w:pPr>
        <w:tabs>
          <w:tab w:val="left" w:pos="284"/>
          <w:tab w:val="left" w:pos="567"/>
          <w:tab w:val="left" w:pos="3825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C8237A" w:rsidRPr="009B5B39" w:rsidSect="00B6037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4D81" w14:textId="77777777" w:rsidR="00683A0E" w:rsidRDefault="00683A0E" w:rsidP="00B60379">
      <w:pPr>
        <w:spacing w:after="0" w:line="240" w:lineRule="auto"/>
      </w:pPr>
      <w:r>
        <w:separator/>
      </w:r>
    </w:p>
  </w:endnote>
  <w:endnote w:type="continuationSeparator" w:id="0">
    <w:p w14:paraId="1B36BA22" w14:textId="77777777" w:rsidR="00683A0E" w:rsidRDefault="00683A0E" w:rsidP="00B6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A7D8" w14:textId="77777777" w:rsidR="00683A0E" w:rsidRDefault="00683A0E" w:rsidP="00B60379">
      <w:pPr>
        <w:spacing w:after="0" w:line="240" w:lineRule="auto"/>
      </w:pPr>
      <w:r>
        <w:separator/>
      </w:r>
    </w:p>
  </w:footnote>
  <w:footnote w:type="continuationSeparator" w:id="0">
    <w:p w14:paraId="0C6284FE" w14:textId="77777777" w:rsidR="00683A0E" w:rsidRDefault="00683A0E" w:rsidP="00B60379">
      <w:pPr>
        <w:spacing w:after="0" w:line="240" w:lineRule="auto"/>
      </w:pPr>
      <w:r>
        <w:continuationSeparator/>
      </w:r>
    </w:p>
  </w:footnote>
  <w:footnote w:id="1">
    <w:p w14:paraId="7C8500D3" w14:textId="4AB3280A" w:rsidR="00A93C2F" w:rsidRPr="009B5B39" w:rsidRDefault="00A86A7F" w:rsidP="00531A4F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t>1 –</w:t>
      </w:r>
      <w:r w:rsidRPr="009B5B39">
        <w:rPr>
          <w:rFonts w:ascii="Times New Roman" w:hAnsi="Times New Roman"/>
          <w:sz w:val="16"/>
          <w:szCs w:val="16"/>
          <w:lang w:val="lt-LT"/>
        </w:rPr>
        <w:t xml:space="preserve">Laikotarpio pradžios datą laikykite </w:t>
      </w:r>
      <w:r w:rsidR="0009649A" w:rsidRPr="009B5B39">
        <w:rPr>
          <w:rFonts w:ascii="Times New Roman" w:hAnsi="Times New Roman"/>
          <w:sz w:val="16"/>
          <w:szCs w:val="16"/>
          <w:lang w:val="en-US"/>
        </w:rPr>
        <w:t xml:space="preserve">IP ir PK rengimo metus. </w:t>
      </w:r>
      <w:r w:rsidRPr="009B5B39">
        <w:rPr>
          <w:rFonts w:ascii="Times New Roman" w:hAnsi="Times New Roman"/>
          <w:sz w:val="16"/>
          <w:szCs w:val="16"/>
          <w:lang w:val="lt-LT"/>
        </w:rPr>
        <w:t>Finansinius srautus planuokite pilnų kalendorinių metų tikslumu</w:t>
      </w:r>
      <w:r w:rsidR="00A93C2F">
        <w:rPr>
          <w:rFonts w:ascii="Times New Roman" w:hAnsi="Times New Roman"/>
          <w:sz w:val="16"/>
          <w:szCs w:val="16"/>
          <w:lang w:val="lt-LT"/>
        </w:rPr>
        <w:t>.</w:t>
      </w:r>
    </w:p>
  </w:footnote>
  <w:footnote w:id="2">
    <w:p w14:paraId="57CC029A" w14:textId="133D9309" w:rsidR="00B60379" w:rsidRPr="009B5B39" w:rsidRDefault="00B60379" w:rsidP="00531A4F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footnoteRef/>
      </w:r>
      <w:r w:rsidR="009B5B39" w:rsidRPr="009B5B39">
        <w:rPr>
          <w:rFonts w:ascii="Times New Roman" w:hAnsi="Times New Roman"/>
          <w:sz w:val="16"/>
          <w:szCs w:val="16"/>
          <w:lang w:val="lt-LT"/>
        </w:rPr>
        <w:t>-</w:t>
      </w:r>
      <w:r w:rsidRPr="009B5B39">
        <w:rPr>
          <w:rFonts w:ascii="Times New Roman" w:hAnsi="Times New Roman"/>
          <w:sz w:val="16"/>
          <w:szCs w:val="16"/>
          <w:lang w:val="lt-LT"/>
        </w:rPr>
        <w:t>Valdžios subjektas, kaip tai apibrėžta Lietuvos Respublikos investicijų įstatymo 2 straipsnio 17 dalyje.</w:t>
      </w:r>
    </w:p>
  </w:footnote>
  <w:footnote w:id="3">
    <w:p w14:paraId="488CB379" w14:textId="06124DF0" w:rsidR="00B60379" w:rsidRPr="009B5B39" w:rsidRDefault="00B60379" w:rsidP="00531A4F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footnoteRef/>
      </w:r>
      <w:r w:rsidRPr="009B5B39">
        <w:rPr>
          <w:rFonts w:ascii="Times New Roman" w:hAnsi="Times New Roman"/>
          <w:sz w:val="16"/>
          <w:szCs w:val="16"/>
          <w:lang w:val="lt-LT"/>
        </w:rPr>
        <w:t xml:space="preserve"> Taikoma tik viešojo sektoriaus subjektams, kuriems teisė skolintis suteikta Lietuvos Respublikos valstybės skolos įstatyme  ir Lietuvos Respublikos biudžeto sandaros įstatyme. </w:t>
      </w:r>
    </w:p>
  </w:footnote>
  <w:footnote w:id="4">
    <w:p w14:paraId="14E965CC" w14:textId="4843045B" w:rsidR="009B5B39" w:rsidRPr="002C066A" w:rsidRDefault="009B5B39" w:rsidP="00531A4F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2C066A">
        <w:rPr>
          <w:rStyle w:val="FootnoteReference"/>
          <w:rFonts w:ascii="Times New Roman" w:hAnsi="Times New Roman"/>
          <w:sz w:val="16"/>
          <w:szCs w:val="16"/>
          <w:lang w:val="lt-LT"/>
        </w:rPr>
        <w:t>-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Nurodoma planuojamų įgyvendinti </w:t>
      </w:r>
      <w:r w:rsidR="002C066A" w:rsidRPr="002C066A">
        <w:rPr>
          <w:rFonts w:ascii="Times New Roman" w:hAnsi="Times New Roman"/>
          <w:sz w:val="16"/>
          <w:szCs w:val="16"/>
          <w:lang w:val="lt-LT"/>
        </w:rPr>
        <w:t xml:space="preserve">rengiamų arba parengtų bei pateiktų CPVA vertinimui, tačiau dar neįgyvendinamų </w:t>
      </w:r>
      <w:r w:rsidR="002C066A">
        <w:rPr>
          <w:rFonts w:ascii="Times New Roman" w:hAnsi="Times New Roman"/>
          <w:sz w:val="16"/>
          <w:szCs w:val="16"/>
          <w:lang w:val="lt-LT"/>
        </w:rPr>
        <w:t xml:space="preserve">investicijų projektų </w:t>
      </w:r>
      <w:r w:rsidR="00791494" w:rsidRPr="002C066A">
        <w:rPr>
          <w:rFonts w:ascii="Times New Roman" w:hAnsi="Times New Roman"/>
          <w:sz w:val="16"/>
          <w:szCs w:val="16"/>
          <w:lang w:val="lt-LT"/>
        </w:rPr>
        <w:t>įsipareigojimų suma</w:t>
      </w:r>
      <w:r w:rsidR="00C96BD2" w:rsidRPr="002C066A">
        <w:rPr>
          <w:rFonts w:ascii="Times New Roman" w:hAnsi="Times New Roman"/>
          <w:sz w:val="16"/>
          <w:szCs w:val="16"/>
          <w:lang w:val="lt-LT"/>
        </w:rPr>
        <w:t xml:space="preserve"> </w:t>
      </w:r>
      <w:r w:rsidR="00181156" w:rsidRPr="002C066A">
        <w:rPr>
          <w:rFonts w:ascii="Times New Roman" w:hAnsi="Times New Roman"/>
          <w:sz w:val="16"/>
          <w:szCs w:val="16"/>
          <w:lang w:val="lt-LT"/>
        </w:rPr>
        <w:t>;</w:t>
      </w:r>
    </w:p>
  </w:footnote>
  <w:footnote w:id="5">
    <w:p w14:paraId="1405AAC9" w14:textId="330516F9" w:rsidR="00791494" w:rsidRPr="00791494" w:rsidRDefault="00791494" w:rsidP="00531A4F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531A4F">
        <w:rPr>
          <w:rStyle w:val="FootnoteReference"/>
          <w:rFonts w:ascii="Times New Roman" w:hAnsi="Times New Roman"/>
          <w:sz w:val="16"/>
          <w:szCs w:val="16"/>
          <w:lang w:val="lt-LT"/>
        </w:rPr>
        <w:t>-</w:t>
      </w:r>
      <w:r>
        <w:rPr>
          <w:rFonts w:ascii="Times New Roman" w:hAnsi="Times New Roman"/>
          <w:sz w:val="16"/>
          <w:szCs w:val="16"/>
          <w:lang w:val="lt-LT"/>
        </w:rPr>
        <w:t xml:space="preserve">Taikoma tik viešojo sektoriaus subjektams, kuriems teisė skolintis suteikta Lietuvos Respublikos valstybės skolos įstatyme ir Lietuvos Respublikos biudžeto sandaros įstatyme. </w:t>
      </w:r>
    </w:p>
  </w:footnote>
  <w:footnote w:id="6">
    <w:p w14:paraId="7E73A352" w14:textId="42C1AA65" w:rsidR="00791494" w:rsidRPr="002C066A" w:rsidRDefault="00791494" w:rsidP="00531A4F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2C066A">
        <w:rPr>
          <w:rStyle w:val="FootnoteReference"/>
          <w:rFonts w:ascii="Times New Roman" w:hAnsi="Times New Roman"/>
          <w:sz w:val="16"/>
          <w:szCs w:val="16"/>
          <w:lang w:val="lt-LT"/>
        </w:rPr>
        <w:t>-</w:t>
      </w:r>
      <w:r w:rsidRPr="002C066A">
        <w:rPr>
          <w:rFonts w:ascii="Times New Roman" w:hAnsi="Times New Roman"/>
          <w:sz w:val="16"/>
          <w:szCs w:val="16"/>
          <w:lang w:val="lt-LT"/>
        </w:rPr>
        <w:t>Metinio atlyginimo mokėjimų dydžio suma</w:t>
      </w:r>
      <w:r w:rsidR="00FD5BC4">
        <w:rPr>
          <w:rFonts w:ascii="Times New Roman" w:hAnsi="Times New Roman"/>
          <w:sz w:val="16"/>
          <w:szCs w:val="16"/>
          <w:lang w:val="lt-LT"/>
        </w:rPr>
        <w:t xml:space="preserve"> apskaičiuojama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 PP rodiklių apskaičiavimo </w:t>
      </w:r>
      <w:r w:rsidR="00FD5BC4">
        <w:rPr>
          <w:rFonts w:ascii="Times New Roman" w:hAnsi="Times New Roman"/>
          <w:sz w:val="16"/>
          <w:szCs w:val="16"/>
          <w:lang w:val="lt-LT"/>
        </w:rPr>
        <w:t>skaičiuoklės 6.4 darbalaukyje “PP rodikliai” stulpelyje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 “Rodiklio “Maksimali Viešojo subjekto mokėjimų vertė Privačiam subjektui" </w:t>
      </w:r>
      <w:r w:rsidR="00FD5BC4">
        <w:rPr>
          <w:rFonts w:ascii="Times New Roman" w:hAnsi="Times New Roman"/>
          <w:sz w:val="16"/>
          <w:szCs w:val="16"/>
          <w:lang w:val="lt-LT"/>
        </w:rPr>
        <w:t xml:space="preserve">nurodytą sumą </w:t>
      </w:r>
      <w:r w:rsidR="00FD5BC4" w:rsidRPr="00FD5BC4">
        <w:rPr>
          <w:rFonts w:ascii="Times New Roman" w:hAnsi="Times New Roman"/>
          <w:sz w:val="16"/>
          <w:szCs w:val="16"/>
          <w:lang w:val="lt-LT"/>
        </w:rPr>
        <w:t>(Nominaliąja išraiška (su PVM)</w:t>
      </w:r>
      <w:r w:rsidR="00FD5BC4">
        <w:rPr>
          <w:rFonts w:ascii="Times New Roman" w:hAnsi="Times New Roman"/>
          <w:sz w:val="16"/>
          <w:szCs w:val="16"/>
          <w:lang w:val="lt-LT"/>
        </w:rPr>
        <w:t>) padalinus iš projekto ataskaitinio laikotarpio trukmės (metais).</w:t>
      </w:r>
    </w:p>
    <w:p w14:paraId="354D86C3" w14:textId="77777777" w:rsidR="00791494" w:rsidRPr="002C066A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</w:p>
    <w:p w14:paraId="7A37B7FC" w14:textId="77777777" w:rsidR="00791494" w:rsidRPr="009B5B39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79"/>
    <w:rsid w:val="0000116D"/>
    <w:rsid w:val="0005459F"/>
    <w:rsid w:val="0009649A"/>
    <w:rsid w:val="00165A4C"/>
    <w:rsid w:val="00181156"/>
    <w:rsid w:val="00206566"/>
    <w:rsid w:val="002C066A"/>
    <w:rsid w:val="003C6352"/>
    <w:rsid w:val="00413023"/>
    <w:rsid w:val="004406CC"/>
    <w:rsid w:val="00531A4F"/>
    <w:rsid w:val="005506DE"/>
    <w:rsid w:val="00561AA0"/>
    <w:rsid w:val="00563644"/>
    <w:rsid w:val="00564ABA"/>
    <w:rsid w:val="00631D31"/>
    <w:rsid w:val="00683A0E"/>
    <w:rsid w:val="00686CEE"/>
    <w:rsid w:val="00690F6B"/>
    <w:rsid w:val="007066A1"/>
    <w:rsid w:val="00791494"/>
    <w:rsid w:val="00892FB9"/>
    <w:rsid w:val="008C72F2"/>
    <w:rsid w:val="00901AC0"/>
    <w:rsid w:val="00980D5C"/>
    <w:rsid w:val="00980FA9"/>
    <w:rsid w:val="009B5B39"/>
    <w:rsid w:val="009B6BD0"/>
    <w:rsid w:val="009D5D2A"/>
    <w:rsid w:val="00A22631"/>
    <w:rsid w:val="00A86A7F"/>
    <w:rsid w:val="00A93C2F"/>
    <w:rsid w:val="00B60379"/>
    <w:rsid w:val="00B74DC3"/>
    <w:rsid w:val="00B80F30"/>
    <w:rsid w:val="00C8237A"/>
    <w:rsid w:val="00C96BD2"/>
    <w:rsid w:val="00CD2DBB"/>
    <w:rsid w:val="00E40069"/>
    <w:rsid w:val="00F209EB"/>
    <w:rsid w:val="00F51498"/>
    <w:rsid w:val="00F6743E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AB7F"/>
  <w15:chartTrackingRefBased/>
  <w15:docId w15:val="{31D62324-0076-478A-9AE9-1F7FB3C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,fn,Footnote Text Char Char Diagrama,Footnote Text Char Char Diagrama Diagrama,Footnote Text Char Char,Car,Footnote Text Blue, Char,Char"/>
    <w:basedOn w:val="Normal"/>
    <w:link w:val="FootnoteTextChar1"/>
    <w:uiPriority w:val="99"/>
    <w:rsid w:val="00B60379"/>
    <w:rPr>
      <w:rFonts w:ascii="Calibri" w:eastAsia="Times New Roman" w:hAnsi="Calibri" w:cs="Times New Roman"/>
      <w:sz w:val="20"/>
      <w:szCs w:val="20"/>
      <w:lang w:val="en-IE" w:eastAsia="lt-LT"/>
    </w:rPr>
  </w:style>
  <w:style w:type="character" w:customStyle="1" w:styleId="FootnoteTextChar">
    <w:name w:val="Footnote Text Char"/>
    <w:basedOn w:val="DefaultParagraphFont"/>
    <w:uiPriority w:val="99"/>
    <w:semiHidden/>
    <w:rsid w:val="00B60379"/>
    <w:rPr>
      <w:sz w:val="20"/>
      <w:szCs w:val="20"/>
    </w:rPr>
  </w:style>
  <w:style w:type="character" w:customStyle="1" w:styleId="FootnoteTextChar1">
    <w:name w:val="Footnote Text Char1"/>
    <w:aliases w:val="Footnote Char,Footnote text Char,fn Char,Footnote Text Char Char Diagrama Char,Footnote Text Char Char Diagrama Diagrama Char,Footnote Text Char Char Char,Car Char,Footnote Text Blue Char, Char Char,Char Char"/>
    <w:basedOn w:val="DefaultParagraphFont"/>
    <w:link w:val="FootnoteText"/>
    <w:uiPriority w:val="99"/>
    <w:locked/>
    <w:rsid w:val="00B60379"/>
    <w:rPr>
      <w:rFonts w:ascii="Calibri" w:eastAsia="Times New Roman" w:hAnsi="Calibri" w:cs="Times New Roman"/>
      <w:sz w:val="20"/>
      <w:szCs w:val="20"/>
      <w:lang w:val="en-IE" w:eastAsia="lt-LT"/>
    </w:rPr>
  </w:style>
  <w:style w:type="character" w:styleId="FootnoteReference">
    <w:name w:val="footnote reference"/>
    <w:basedOn w:val="DefaultParagraphFont"/>
    <w:uiPriority w:val="99"/>
    <w:rsid w:val="00B6037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B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6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DmsDocPrepDocSendReg xmlns="028236e2-f653-4d19-ab67-4d06a9145e0c">true</DmsDocPrepDocSendReg>
    <DmsDocPrepListOrderNo xmlns="4b2e9d09-07c5-42d4-ad0a-92e216c40b99">2</DmsDocPrepListOrderNo>
    <ExportDate xmlns="a843bbba-5665-4b5f-aacc-cdcb1c804839" xsi:nil="true"/>
  </documentManagement>
</p:properties>
</file>

<file path=customXml/itemProps1.xml><?xml version="1.0" encoding="utf-8"?>
<ds:datastoreItem xmlns:ds="http://schemas.openxmlformats.org/officeDocument/2006/customXml" ds:itemID="{8A73FEDD-20AD-4F52-9307-750114E3B66F}"/>
</file>

<file path=customXml/itemProps2.xml><?xml version="1.0" encoding="utf-8"?>
<ds:datastoreItem xmlns:ds="http://schemas.openxmlformats.org/officeDocument/2006/customXml" ds:itemID="{EF84B55B-0088-4766-8995-74B92F1A0939}"/>
</file>

<file path=customXml/itemProps3.xml><?xml version="1.0" encoding="utf-8"?>
<ds:datastoreItem xmlns:ds="http://schemas.openxmlformats.org/officeDocument/2006/customXml" ds:itemID="{CA27788F-C7FF-437A-914A-24320CE71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2899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Budvytienė</dc:creator>
  <cp:keywords/>
  <dc:description/>
  <cp:lastModifiedBy>Neringa Pažūsienė</cp:lastModifiedBy>
  <cp:revision>5</cp:revision>
  <dcterms:created xsi:type="dcterms:W3CDTF">2018-04-19T11:40:00Z</dcterms:created>
  <dcterms:modified xsi:type="dcterms:W3CDTF">2023-05-09T10:12:00Z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0x010100D76F90AF19434866994CD715ED8FEE4200712820E1B0DE314FBCE77D75ADAD206D</vt:lpwstr>
  </property>
  <property fmtid="{D5CDD505-2E9C-101B-9397-08002B2CF9AE}" pid="4" name="DmsPermissionsDivisions">
    <vt:lpwstr>61;#Viešosios ir privačios partnerystės skyrius|867ae142-fdb5-49bb-a29d-0bd74dc3e11a;#48;#Kokybės užtikrinimo skyrius|253b4bc5-eb8b-4b91-befb-f97cc65a2670;#49;#Vadovybė|58a5a61f-fccb-4f74-9a6b-098be634181c</vt:lpwstr>
  </property>
  <property fmtid="{D5CDD505-2E9C-101B-9397-08002B2CF9AE}" pid="5" name="DmsPermissionsUsers">
    <vt:lpwstr>224;#Neringa Pažūsienė;#1155;#Donatas Valiukas;#788;#Erika Patupytė;#219;#Jekaterina Šarmavičienė;#233;#Jūratė Lepardinienė;#232;#Lidija Kašubienė</vt:lpwstr>
  </property>
  <property fmtid="{D5CDD505-2E9C-101B-9397-08002B2CF9AE}" pid="6" name="DmsPermissionsConfid">
    <vt:bool>true</vt:bool>
  </property>
  <property fmtid="{D5CDD505-2E9C-101B-9397-08002B2CF9AE}" pid="7" name="TaxCatchAll">
    <vt:lpwstr/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