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6D" w:rsidRDefault="00CC056D" w:rsidP="003E3E7C">
      <w:pPr>
        <w:pStyle w:val="Heading1"/>
        <w:rPr>
          <w:lang w:val="lt-LT"/>
        </w:rPr>
      </w:pPr>
      <w:r>
        <w:rPr>
          <w:lang w:val="lt-LT"/>
        </w:rPr>
        <w:t>Naudos</w:t>
      </w:r>
      <w:r w:rsidR="003E3E7C">
        <w:rPr>
          <w:lang w:val="lt-LT"/>
        </w:rPr>
        <w:t xml:space="preserve"> komponento </w:t>
      </w:r>
      <w:r w:rsidR="003E3E7C" w:rsidRPr="003E3E7C">
        <w:rPr>
          <w:lang w:val="lt-LT"/>
        </w:rPr>
        <w:t xml:space="preserve">„Šilumos tiekimo patikimumo padidėjimas“ </w:t>
      </w:r>
      <w:r w:rsidR="003E3E7C">
        <w:rPr>
          <w:lang w:val="lt-LT"/>
        </w:rPr>
        <w:t>taikymas socialinėje-ekonominėje analizėje rengiant Investicijų projektus</w:t>
      </w:r>
    </w:p>
    <w:p w:rsidR="00CC056D" w:rsidRDefault="00CC056D" w:rsidP="00CC056D">
      <w:pPr>
        <w:pStyle w:val="Heading2"/>
        <w:rPr>
          <w:lang w:val="lt-LT"/>
        </w:rPr>
      </w:pPr>
    </w:p>
    <w:p w:rsidR="00CC056D" w:rsidRPr="00CC056D" w:rsidRDefault="00CC056D" w:rsidP="00BF5E0E">
      <w:pPr>
        <w:jc w:val="both"/>
        <w:rPr>
          <w:lang w:val="lt-LT"/>
        </w:rPr>
      </w:pPr>
      <w:r>
        <w:rPr>
          <w:lang w:val="lt-LT"/>
        </w:rPr>
        <w:t xml:space="preserve">Atsižvelgiant į tai, kad „Metodikos ir modelio, skirto įvertinti investicijų, finansuojamų Europos Sąjungos Struktūrinių fondų ir Lietuvos nacionalinio biudžeto lėšomis, socialinį-ekonominį poveikį, sukūrimas“ galutinėje ataskaitoje, kuri skelbiama </w:t>
      </w:r>
      <w:hyperlink r:id="rId8" w:history="1">
        <w:r w:rsidRPr="00A76353">
          <w:rPr>
            <w:rStyle w:val="Hyperlink"/>
            <w:lang w:val="lt-LT"/>
          </w:rPr>
          <w:t>www.ppplietuva.lt</w:t>
        </w:r>
      </w:hyperlink>
      <w:r>
        <w:rPr>
          <w:lang w:val="lt-LT"/>
        </w:rPr>
        <w:t xml:space="preserve"> puslapyje, Energ</w:t>
      </w:r>
      <w:r w:rsidR="00BF5E0E">
        <w:rPr>
          <w:lang w:val="lt-LT"/>
        </w:rPr>
        <w:t>etikos sektori</w:t>
      </w:r>
      <w:r w:rsidR="00882C44">
        <w:rPr>
          <w:lang w:val="lt-LT"/>
        </w:rPr>
        <w:t>aus</w:t>
      </w:r>
      <w:r w:rsidR="00BF5E0E">
        <w:rPr>
          <w:lang w:val="lt-LT"/>
        </w:rPr>
        <w:t xml:space="preserve"> projektų tipo</w:t>
      </w:r>
      <w:r>
        <w:rPr>
          <w:lang w:val="lt-LT"/>
        </w:rPr>
        <w:t xml:space="preserve"> </w:t>
      </w:r>
      <w:r w:rsidRPr="00CC056D">
        <w:rPr>
          <w:b/>
          <w:lang w:val="lt-LT"/>
        </w:rPr>
        <w:t>Šalies viduje esančių elektros, gamtinių dujų ir šilumos perdavimo sistemų modernizavimas</w:t>
      </w:r>
      <w:r>
        <w:rPr>
          <w:lang w:val="lt-LT"/>
        </w:rPr>
        <w:t xml:space="preserve"> </w:t>
      </w:r>
      <w:r w:rsidR="00BF5E0E">
        <w:rPr>
          <w:lang w:val="lt-LT"/>
        </w:rPr>
        <w:t xml:space="preserve">projektams </w:t>
      </w:r>
      <w:r w:rsidR="00F8747A">
        <w:rPr>
          <w:lang w:val="lt-LT"/>
        </w:rPr>
        <w:t>n</w:t>
      </w:r>
      <w:r>
        <w:rPr>
          <w:lang w:val="lt-LT"/>
        </w:rPr>
        <w:t xml:space="preserve">audos komponentų nepakanka </w:t>
      </w:r>
      <w:r w:rsidR="00BF5E0E">
        <w:rPr>
          <w:lang w:val="lt-LT"/>
        </w:rPr>
        <w:t xml:space="preserve">ekonominei naudai atskleisti, </w:t>
      </w:r>
      <w:r w:rsidR="003E3E7C">
        <w:rPr>
          <w:lang w:val="lt-LT"/>
        </w:rPr>
        <w:t xml:space="preserve">Centrinė projektų valdymo agentūra, teikia paaiškinimą dėl </w:t>
      </w:r>
      <w:r w:rsidR="00BD73A3">
        <w:rPr>
          <w:lang w:val="lt-LT"/>
        </w:rPr>
        <w:t xml:space="preserve">įvedamo </w:t>
      </w:r>
      <w:r w:rsidR="003E3E7C">
        <w:rPr>
          <w:lang w:val="lt-LT"/>
        </w:rPr>
        <w:t xml:space="preserve">naujo </w:t>
      </w:r>
      <w:r w:rsidR="00F8747A">
        <w:rPr>
          <w:lang w:val="lt-LT"/>
        </w:rPr>
        <w:t>n</w:t>
      </w:r>
      <w:r w:rsidR="003E3E7C">
        <w:rPr>
          <w:lang w:val="lt-LT"/>
        </w:rPr>
        <w:t>audos komponento „Šilumos</w:t>
      </w:r>
      <w:r w:rsidR="003E3E7C" w:rsidRPr="003E3E7C">
        <w:rPr>
          <w:lang w:val="lt-LT"/>
        </w:rPr>
        <w:t xml:space="preserve"> tiekimo patikimumo padidėjimas</w:t>
      </w:r>
      <w:r w:rsidR="003E3E7C">
        <w:rPr>
          <w:lang w:val="lt-LT"/>
        </w:rPr>
        <w:t>“ apskaičiavimo metodikos</w:t>
      </w:r>
      <w:r w:rsidR="003E3E7C" w:rsidRPr="003E3E7C">
        <w:rPr>
          <w:lang w:val="lt-LT"/>
        </w:rPr>
        <w:t xml:space="preserve"> ir taikymo </w:t>
      </w:r>
      <w:r w:rsidR="00BF5E0E">
        <w:rPr>
          <w:lang w:val="lt-LT"/>
        </w:rPr>
        <w:t>instrukcijos</w:t>
      </w:r>
      <w:r w:rsidR="003E3E7C">
        <w:rPr>
          <w:lang w:val="lt-LT"/>
        </w:rPr>
        <w:t>.</w:t>
      </w:r>
    </w:p>
    <w:p w:rsidR="00BF5E0E" w:rsidRPr="00BF5E0E" w:rsidRDefault="003D1E9E" w:rsidP="00BF5E0E">
      <w:pPr>
        <w:pStyle w:val="Heading2"/>
        <w:jc w:val="both"/>
        <w:rPr>
          <w:lang w:val="lt-LT"/>
        </w:rPr>
      </w:pPr>
      <w:r>
        <w:rPr>
          <w:lang w:val="lt-LT"/>
        </w:rPr>
        <w:t xml:space="preserve">Komponento </w:t>
      </w:r>
      <w:r w:rsidR="003E3E7C" w:rsidRPr="003E3E7C">
        <w:rPr>
          <w:lang w:val="lt-LT"/>
        </w:rPr>
        <w:t xml:space="preserve">„Šilumos tiekimo patikimumo </w:t>
      </w:r>
      <w:r w:rsidR="003E3E7C">
        <w:rPr>
          <w:lang w:val="lt-LT"/>
        </w:rPr>
        <w:t xml:space="preserve">padidėjimas“ </w:t>
      </w:r>
      <w:r>
        <w:rPr>
          <w:lang w:val="lt-LT"/>
        </w:rPr>
        <w:t>įverčio</w:t>
      </w:r>
      <w:r w:rsidRPr="002543F9">
        <w:rPr>
          <w:lang w:val="lt-LT"/>
        </w:rPr>
        <w:t xml:space="preserve"> </w:t>
      </w:r>
      <w:r w:rsidR="002543F9" w:rsidRPr="002543F9">
        <w:rPr>
          <w:lang w:val="lt-LT"/>
        </w:rPr>
        <w:t xml:space="preserve">apskaičiavimo </w:t>
      </w:r>
      <w:r w:rsidR="00216304" w:rsidRPr="002543F9">
        <w:rPr>
          <w:lang w:val="lt-LT"/>
        </w:rPr>
        <w:t>metodik</w:t>
      </w:r>
      <w:r w:rsidR="00216304">
        <w:rPr>
          <w:lang w:val="lt-LT"/>
        </w:rPr>
        <w:t>a</w:t>
      </w:r>
      <w:r w:rsidR="00216304" w:rsidRPr="002543F9">
        <w:rPr>
          <w:lang w:val="lt-LT"/>
        </w:rPr>
        <w:t xml:space="preserve"> </w:t>
      </w:r>
    </w:p>
    <w:p w:rsidR="007153A0" w:rsidRPr="0096340B" w:rsidRDefault="003E3E7C" w:rsidP="00BF5E0E">
      <w:pPr>
        <w:jc w:val="both"/>
        <w:rPr>
          <w:lang w:val="lt-LT"/>
        </w:rPr>
      </w:pPr>
      <w:r>
        <w:rPr>
          <w:lang w:val="lt-LT"/>
        </w:rPr>
        <w:t xml:space="preserve">Šilumos </w:t>
      </w:r>
      <w:r w:rsidR="002543F9">
        <w:rPr>
          <w:lang w:val="lt-LT"/>
        </w:rPr>
        <w:t xml:space="preserve">tiekimo patikimumo </w:t>
      </w:r>
      <w:r w:rsidR="002720FB">
        <w:rPr>
          <w:lang w:val="lt-LT"/>
        </w:rPr>
        <w:t xml:space="preserve">padidėjimas suprantamas </w:t>
      </w:r>
      <w:r w:rsidR="002543F9">
        <w:rPr>
          <w:lang w:val="lt-LT"/>
        </w:rPr>
        <w:t xml:space="preserve">kaip </w:t>
      </w:r>
      <w:r w:rsidR="00FA3505">
        <w:rPr>
          <w:lang w:val="lt-LT"/>
        </w:rPr>
        <w:t xml:space="preserve">tam tikroje geografinėje teritorijoje </w:t>
      </w:r>
      <w:r w:rsidR="002720FB">
        <w:rPr>
          <w:lang w:val="lt-LT"/>
        </w:rPr>
        <w:t>išvengti</w:t>
      </w:r>
      <w:r w:rsidR="002720FB" w:rsidRPr="003E3E7C">
        <w:rPr>
          <w:lang w:val="lt-LT"/>
        </w:rPr>
        <w:t xml:space="preserve"> technini</w:t>
      </w:r>
      <w:r w:rsidR="002720FB">
        <w:rPr>
          <w:lang w:val="lt-LT"/>
        </w:rPr>
        <w:t>ai</w:t>
      </w:r>
      <w:r w:rsidR="002720FB" w:rsidRPr="003E3E7C">
        <w:rPr>
          <w:lang w:val="lt-LT"/>
        </w:rPr>
        <w:t xml:space="preserve"> </w:t>
      </w:r>
      <w:r w:rsidR="002543F9">
        <w:rPr>
          <w:lang w:val="lt-LT"/>
        </w:rPr>
        <w:t xml:space="preserve">šilumos tiekimo </w:t>
      </w:r>
      <w:r w:rsidR="002720FB">
        <w:rPr>
          <w:lang w:val="lt-LT"/>
        </w:rPr>
        <w:t>sutrikimai</w:t>
      </w:r>
      <w:r w:rsidRPr="003E3E7C">
        <w:rPr>
          <w:lang w:val="lt-LT"/>
        </w:rPr>
        <w:t>, atsirandan</w:t>
      </w:r>
      <w:r w:rsidR="002720FB">
        <w:rPr>
          <w:lang w:val="lt-LT"/>
        </w:rPr>
        <w:t>tys</w:t>
      </w:r>
      <w:r w:rsidRPr="003E3E7C">
        <w:rPr>
          <w:lang w:val="lt-LT"/>
        </w:rPr>
        <w:t xml:space="preserve"> dėl </w:t>
      </w:r>
      <w:r w:rsidR="00AE4F32">
        <w:rPr>
          <w:lang w:val="lt-LT"/>
        </w:rPr>
        <w:t xml:space="preserve">šilumos </w:t>
      </w:r>
      <w:r w:rsidR="00C50612">
        <w:rPr>
          <w:lang w:val="lt-LT"/>
        </w:rPr>
        <w:t xml:space="preserve">ir karšto vandens </w:t>
      </w:r>
      <w:r w:rsidR="00AE4F32">
        <w:rPr>
          <w:lang w:val="lt-LT"/>
        </w:rPr>
        <w:t xml:space="preserve">teikimo </w:t>
      </w:r>
      <w:r w:rsidR="0061269F">
        <w:rPr>
          <w:lang w:val="lt-LT"/>
        </w:rPr>
        <w:t>sistemų</w:t>
      </w:r>
      <w:r w:rsidR="00AE4F32">
        <w:rPr>
          <w:lang w:val="lt-LT"/>
        </w:rPr>
        <w:t xml:space="preserve"> </w:t>
      </w:r>
      <w:r w:rsidR="00AE4F32" w:rsidRPr="0096340B">
        <w:rPr>
          <w:lang w:val="lt-LT"/>
        </w:rPr>
        <w:t>avarijų</w:t>
      </w:r>
      <w:r w:rsidR="0096340B">
        <w:rPr>
          <w:lang w:val="lt-LT"/>
        </w:rPr>
        <w:t>.</w:t>
      </w:r>
    </w:p>
    <w:p w:rsidR="00F900FD" w:rsidRDefault="00F900FD" w:rsidP="00BF5E0E">
      <w:pPr>
        <w:jc w:val="both"/>
        <w:rPr>
          <w:lang w:val="lt-LT"/>
        </w:rPr>
      </w:pPr>
      <w:r>
        <w:rPr>
          <w:lang w:val="lt-LT"/>
        </w:rPr>
        <w:t xml:space="preserve">Šilumos trasų modernizavimas gali </w:t>
      </w:r>
      <w:r w:rsidR="0085553A">
        <w:rPr>
          <w:lang w:val="lt-LT"/>
        </w:rPr>
        <w:t xml:space="preserve">mažinti avarinių įvykių skaičių </w:t>
      </w:r>
      <w:r w:rsidR="00214DC8">
        <w:rPr>
          <w:lang w:val="lt-LT"/>
        </w:rPr>
        <w:t>tuo p</w:t>
      </w:r>
      <w:r w:rsidR="0085553A">
        <w:rPr>
          <w:lang w:val="lt-LT"/>
        </w:rPr>
        <w:t>ačiu sąlygoti šiluminės</w:t>
      </w:r>
      <w:r w:rsidR="0085553A" w:rsidRPr="002543F9">
        <w:rPr>
          <w:lang w:val="lt-LT"/>
        </w:rPr>
        <w:t xml:space="preserve"> energijos </w:t>
      </w:r>
      <w:r w:rsidR="0085553A">
        <w:rPr>
          <w:lang w:val="lt-LT"/>
        </w:rPr>
        <w:t xml:space="preserve">ir karšto vandens </w:t>
      </w:r>
      <w:r w:rsidR="00214DC8">
        <w:rPr>
          <w:lang w:val="lt-LT"/>
        </w:rPr>
        <w:t>tiekimo patikimumo padidėjimą.</w:t>
      </w:r>
      <w:r w:rsidR="00214DC8" w:rsidRPr="00214DC8">
        <w:rPr>
          <w:lang w:val="lt-LT"/>
        </w:rPr>
        <w:t xml:space="preserve"> </w:t>
      </w:r>
      <w:r w:rsidR="00214DC8">
        <w:rPr>
          <w:lang w:val="lt-LT"/>
        </w:rPr>
        <w:t>Ypatingai svarbu užtikrinti, kad šilumos trasos tinkamai funkcionuotų šaltuoju sezonu.</w:t>
      </w:r>
      <w:r w:rsidR="00CB2EDC">
        <w:rPr>
          <w:lang w:val="lt-LT"/>
        </w:rPr>
        <w:t xml:space="preserve"> Jo metu, pasireiškus </w:t>
      </w:r>
      <w:r w:rsidR="00457A0D">
        <w:rPr>
          <w:lang w:val="lt-LT"/>
        </w:rPr>
        <w:t xml:space="preserve">šilumos tiekimo </w:t>
      </w:r>
      <w:r w:rsidR="00CB2EDC">
        <w:rPr>
          <w:lang w:val="lt-LT"/>
        </w:rPr>
        <w:t xml:space="preserve">sutrikimams, </w:t>
      </w:r>
      <w:r w:rsidR="00457A0D">
        <w:rPr>
          <w:lang w:val="lt-LT"/>
        </w:rPr>
        <w:t xml:space="preserve">kyla </w:t>
      </w:r>
      <w:r w:rsidR="00457A0D" w:rsidRPr="00DD187A">
        <w:rPr>
          <w:lang w:val="lt-LT"/>
        </w:rPr>
        <w:t>g</w:t>
      </w:r>
      <w:r w:rsidR="00457A0D">
        <w:rPr>
          <w:lang w:val="lt-LT"/>
        </w:rPr>
        <w:t>rėsmė</w:t>
      </w:r>
      <w:r w:rsidR="00457A0D" w:rsidRPr="00DD187A">
        <w:rPr>
          <w:lang w:val="lt-LT"/>
        </w:rPr>
        <w:t xml:space="preserve"> užšalti pastatų šildymo, vandens </w:t>
      </w:r>
      <w:r w:rsidR="00ED0E8E">
        <w:rPr>
          <w:lang w:val="lt-LT"/>
        </w:rPr>
        <w:t xml:space="preserve">tiekimo </w:t>
      </w:r>
      <w:r w:rsidR="00457A0D" w:rsidRPr="00DD187A">
        <w:rPr>
          <w:lang w:val="lt-LT"/>
        </w:rPr>
        <w:t xml:space="preserve">ir nuotekų </w:t>
      </w:r>
      <w:r w:rsidR="00ED0E8E">
        <w:rPr>
          <w:lang w:val="lt-LT"/>
        </w:rPr>
        <w:t xml:space="preserve">surinkimo </w:t>
      </w:r>
      <w:r w:rsidR="00457A0D" w:rsidRPr="00DD187A">
        <w:rPr>
          <w:lang w:val="lt-LT"/>
        </w:rPr>
        <w:t>sistemoms</w:t>
      </w:r>
      <w:r w:rsidR="00457A0D">
        <w:rPr>
          <w:lang w:val="lt-LT"/>
        </w:rPr>
        <w:t>,</w:t>
      </w:r>
      <w:r w:rsidR="00457A0D" w:rsidRPr="00457A0D">
        <w:rPr>
          <w:lang w:val="lt-LT"/>
        </w:rPr>
        <w:t xml:space="preserve"> </w:t>
      </w:r>
      <w:r w:rsidR="00457A0D">
        <w:rPr>
          <w:lang w:val="lt-LT"/>
        </w:rPr>
        <w:t>kurių</w:t>
      </w:r>
      <w:r w:rsidR="00ED0E8E" w:rsidRPr="00ED0E8E">
        <w:rPr>
          <w:lang w:val="lt-LT"/>
        </w:rPr>
        <w:t xml:space="preserve"> </w:t>
      </w:r>
      <w:r w:rsidR="00ED0E8E">
        <w:rPr>
          <w:lang w:val="lt-LT"/>
        </w:rPr>
        <w:t xml:space="preserve">atstatymas, </w:t>
      </w:r>
      <w:r w:rsidR="003D1E9E">
        <w:rPr>
          <w:lang w:val="lt-LT"/>
        </w:rPr>
        <w:t>šalia</w:t>
      </w:r>
      <w:r w:rsidR="00ED0E8E">
        <w:rPr>
          <w:lang w:val="lt-LT"/>
        </w:rPr>
        <w:t xml:space="preserve"> šilumos tiekimo sistemų sutvarkymo, sąlygotų </w:t>
      </w:r>
      <w:r w:rsidR="004B37E3">
        <w:rPr>
          <w:lang w:val="lt-LT"/>
        </w:rPr>
        <w:t>papildomas išlaidas.</w:t>
      </w:r>
    </w:p>
    <w:p w:rsidR="003D1E9E" w:rsidRDefault="00833387" w:rsidP="00BF5E0E">
      <w:pPr>
        <w:jc w:val="both"/>
        <w:rPr>
          <w:lang w:val="lt-LT"/>
        </w:rPr>
      </w:pPr>
      <w:r>
        <w:rPr>
          <w:lang w:val="lt-LT"/>
        </w:rPr>
        <w:t>Įverčio apskaičiavimo</w:t>
      </w:r>
      <w:r w:rsidR="00DD187A" w:rsidRPr="00DD187A">
        <w:rPr>
          <w:lang w:val="lt-LT"/>
        </w:rPr>
        <w:t xml:space="preserve"> metodika</w:t>
      </w:r>
      <w:r w:rsidRPr="00DD187A">
        <w:rPr>
          <w:lang w:val="lt-LT"/>
        </w:rPr>
        <w:t xml:space="preserve"> remiasi vartotojo pasiryžimo sumokėti</w:t>
      </w:r>
      <w:r>
        <w:rPr>
          <w:lang w:val="lt-LT"/>
        </w:rPr>
        <w:t xml:space="preserve"> </w:t>
      </w:r>
      <w:r w:rsidR="009076AB" w:rsidRPr="00DD187A">
        <w:rPr>
          <w:lang w:val="lt-LT"/>
        </w:rPr>
        <w:t xml:space="preserve">už išvengtus </w:t>
      </w:r>
      <w:r w:rsidR="009076AB">
        <w:rPr>
          <w:lang w:val="lt-LT"/>
        </w:rPr>
        <w:t>šiluminės</w:t>
      </w:r>
      <w:r w:rsidR="009076AB" w:rsidRPr="00DD187A">
        <w:rPr>
          <w:lang w:val="lt-LT"/>
        </w:rPr>
        <w:t xml:space="preserve"> energijos </w:t>
      </w:r>
      <w:r w:rsidR="009076AB">
        <w:rPr>
          <w:lang w:val="lt-LT"/>
        </w:rPr>
        <w:t xml:space="preserve">ir karšto vandens </w:t>
      </w:r>
      <w:r w:rsidR="009076AB" w:rsidRPr="00DD187A">
        <w:rPr>
          <w:lang w:val="lt-LT"/>
        </w:rPr>
        <w:t>tiekimo sutrikimus nustatymu</w:t>
      </w:r>
      <w:r w:rsidR="009076AB">
        <w:rPr>
          <w:lang w:val="lt-LT"/>
        </w:rPr>
        <w:t xml:space="preserve">, </w:t>
      </w:r>
      <w:r w:rsidR="009076AB" w:rsidRPr="00DD187A">
        <w:rPr>
          <w:lang w:val="lt-LT"/>
        </w:rPr>
        <w:t>naudojant išsakytų preferencijų metodą.</w:t>
      </w:r>
      <w:r w:rsidR="00295202">
        <w:rPr>
          <w:lang w:val="lt-LT"/>
        </w:rPr>
        <w:t xml:space="preserve"> Kadangi jokie patikimi šiuo klausimu tyrimai Lietuvoje nebuvo atliekami, </w:t>
      </w:r>
      <w:r w:rsidR="00930E09">
        <w:rPr>
          <w:lang w:val="lt-LT"/>
        </w:rPr>
        <w:t>galimas taikyti ir</w:t>
      </w:r>
      <w:r w:rsidR="00295202">
        <w:rPr>
          <w:lang w:val="lt-LT"/>
        </w:rPr>
        <w:t xml:space="preserve"> alternatyvus būdas.</w:t>
      </w:r>
    </w:p>
    <w:p w:rsidR="00DD187A" w:rsidRDefault="00DD187A" w:rsidP="00BF5E0E">
      <w:pPr>
        <w:jc w:val="both"/>
        <w:rPr>
          <w:lang w:val="lt-LT"/>
        </w:rPr>
      </w:pPr>
      <w:r w:rsidRPr="00DD187A">
        <w:rPr>
          <w:lang w:val="lt-LT"/>
        </w:rPr>
        <w:t xml:space="preserve">Padidėjusio </w:t>
      </w:r>
      <w:r>
        <w:rPr>
          <w:lang w:val="lt-LT"/>
        </w:rPr>
        <w:t>šiluminės</w:t>
      </w:r>
      <w:r w:rsidRPr="00DD187A">
        <w:rPr>
          <w:lang w:val="lt-LT"/>
        </w:rPr>
        <w:t xml:space="preserve"> energijos tiekimo patikimumo teikiamos naudos skaičiavimui Lietuvoje siūloma taikyti išvengtų sąnaudų metodą, t. y. remtis nepatiektos </w:t>
      </w:r>
      <w:r>
        <w:rPr>
          <w:lang w:val="lt-LT"/>
        </w:rPr>
        <w:t>šiluminės</w:t>
      </w:r>
      <w:r w:rsidRPr="00DD187A">
        <w:rPr>
          <w:lang w:val="lt-LT"/>
        </w:rPr>
        <w:t xml:space="preserve"> ene</w:t>
      </w:r>
      <w:r>
        <w:rPr>
          <w:lang w:val="lt-LT"/>
        </w:rPr>
        <w:t>rgijos ekonominėmis sąnaudomis, i</w:t>
      </w:r>
      <w:r w:rsidRPr="00DD187A">
        <w:rPr>
          <w:lang w:val="lt-LT"/>
        </w:rPr>
        <w:t xml:space="preserve">švengtomis dėl padidėjusio </w:t>
      </w:r>
      <w:r>
        <w:rPr>
          <w:lang w:val="lt-LT"/>
        </w:rPr>
        <w:t>šiluminės</w:t>
      </w:r>
      <w:r w:rsidRPr="00DD187A">
        <w:rPr>
          <w:lang w:val="lt-LT"/>
        </w:rPr>
        <w:t xml:space="preserve"> energijos tiekimo sistemos patikimumo. Šios sąnaudos gaunamos ekonomikos sektoriaus metinę bendrąją pridėtinę ve</w:t>
      </w:r>
      <w:r>
        <w:rPr>
          <w:lang w:val="lt-LT"/>
        </w:rPr>
        <w:t xml:space="preserve">rtę (BPV) </w:t>
      </w:r>
      <w:r w:rsidRPr="00DD187A">
        <w:rPr>
          <w:lang w:val="lt-LT"/>
        </w:rPr>
        <w:t xml:space="preserve">dalijant iš tame pačiame sektoriuje parduotos ir suvartotos </w:t>
      </w:r>
      <w:r w:rsidR="002F7D9A">
        <w:rPr>
          <w:lang w:val="lt-LT"/>
        </w:rPr>
        <w:t>šiluminės</w:t>
      </w:r>
      <w:r w:rsidRPr="00DD187A">
        <w:rPr>
          <w:lang w:val="lt-LT"/>
        </w:rPr>
        <w:t xml:space="preserve"> energijos kiekio.</w:t>
      </w:r>
      <w:r>
        <w:rPr>
          <w:lang w:val="lt-LT"/>
        </w:rPr>
        <w:t xml:space="preserve"> </w:t>
      </w:r>
    </w:p>
    <w:p w:rsidR="002C1E57" w:rsidRDefault="00DD187A" w:rsidP="002C1E57">
      <w:pPr>
        <w:jc w:val="both"/>
        <w:rPr>
          <w:lang w:val="lt-LT"/>
        </w:rPr>
      </w:pPr>
      <w:r>
        <w:rPr>
          <w:lang w:val="lt-LT"/>
        </w:rPr>
        <w:t>Atsižvelgiant į tai,</w:t>
      </w:r>
      <w:r w:rsidR="00800A86">
        <w:rPr>
          <w:lang w:val="lt-LT"/>
        </w:rPr>
        <w:t xml:space="preserve"> jog dalyje ekonominės veiklos sektorių šiluminės energijos dedamoji</w:t>
      </w:r>
      <w:r w:rsidR="00314B3D">
        <w:rPr>
          <w:lang w:val="lt-LT"/>
        </w:rPr>
        <w:t xml:space="preserve"> pridėtinės vertės kūrime yra </w:t>
      </w:r>
      <w:r w:rsidR="00FE6832">
        <w:rPr>
          <w:lang w:val="lt-LT"/>
        </w:rPr>
        <w:t>sąlyginai</w:t>
      </w:r>
      <w:r w:rsidR="00314B3D">
        <w:rPr>
          <w:lang w:val="lt-LT"/>
        </w:rPr>
        <w:t xml:space="preserve"> nedidelė arba </w:t>
      </w:r>
      <w:r w:rsidR="008C4BA4">
        <w:rPr>
          <w:lang w:val="lt-LT"/>
        </w:rPr>
        <w:t xml:space="preserve">ji išvis nenaudojama, į </w:t>
      </w:r>
      <w:r w:rsidR="002C1E57">
        <w:rPr>
          <w:lang w:val="lt-LT"/>
        </w:rPr>
        <w:t>įverčio apskaičiavimą įtraukiam</w:t>
      </w:r>
      <w:r w:rsidR="00AD1C19">
        <w:rPr>
          <w:lang w:val="lt-LT"/>
        </w:rPr>
        <w:t>i</w:t>
      </w:r>
      <w:r w:rsidR="002C1E57">
        <w:rPr>
          <w:lang w:val="lt-LT"/>
        </w:rPr>
        <w:t xml:space="preserve"> </w:t>
      </w:r>
      <w:r w:rsidR="00AD1C19">
        <w:rPr>
          <w:lang w:val="lt-LT"/>
        </w:rPr>
        <w:t>ne visi</w:t>
      </w:r>
      <w:r w:rsidR="002C1E57">
        <w:rPr>
          <w:lang w:val="lt-LT"/>
        </w:rPr>
        <w:t xml:space="preserve"> ekonominės veiklos s</w:t>
      </w:r>
      <w:r w:rsidR="0041481A">
        <w:rPr>
          <w:lang w:val="lt-LT"/>
        </w:rPr>
        <w:t>ektori</w:t>
      </w:r>
      <w:r w:rsidR="00AD1C19">
        <w:rPr>
          <w:lang w:val="lt-LT"/>
        </w:rPr>
        <w:t>ai</w:t>
      </w:r>
      <w:r w:rsidR="002C1E57">
        <w:rPr>
          <w:lang w:val="lt-LT"/>
        </w:rPr>
        <w:t xml:space="preserve"> (žr. </w:t>
      </w:r>
      <w:r w:rsidR="002C1E57" w:rsidRPr="00A723DE">
        <w:rPr>
          <w:i/>
          <w:lang w:val="lt-LT"/>
        </w:rPr>
        <w:fldChar w:fldCharType="begin"/>
      </w:r>
      <w:r w:rsidR="002C1E57" w:rsidRPr="00A723DE">
        <w:rPr>
          <w:i/>
          <w:lang w:val="lt-LT"/>
        </w:rPr>
        <w:instrText xml:space="preserve"> REF _Ref447869639 \h </w:instrText>
      </w:r>
      <w:r w:rsidR="00A723DE">
        <w:rPr>
          <w:i/>
          <w:lang w:val="lt-LT"/>
        </w:rPr>
        <w:instrText xml:space="preserve"> \* MERGEFORMAT </w:instrText>
      </w:r>
      <w:r w:rsidR="002C1E57" w:rsidRPr="00A723DE">
        <w:rPr>
          <w:i/>
          <w:lang w:val="lt-LT"/>
        </w:rPr>
      </w:r>
      <w:r w:rsidR="002C1E57" w:rsidRPr="00A723DE">
        <w:rPr>
          <w:i/>
          <w:lang w:val="lt-LT"/>
        </w:rPr>
        <w:fldChar w:fldCharType="separate"/>
      </w:r>
      <w:r w:rsidR="00FE6832" w:rsidRPr="00A723DE">
        <w:rPr>
          <w:i/>
        </w:rPr>
        <w:t>l</w:t>
      </w:r>
      <w:r w:rsidR="002C1E57" w:rsidRPr="00A723DE">
        <w:rPr>
          <w:i/>
        </w:rPr>
        <w:t xml:space="preserve">entelė </w:t>
      </w:r>
      <w:r w:rsidR="002C1E57" w:rsidRPr="00A723DE">
        <w:rPr>
          <w:i/>
          <w:noProof/>
        </w:rPr>
        <w:t>1</w:t>
      </w:r>
      <w:r w:rsidR="002C1E57" w:rsidRPr="00A723DE">
        <w:rPr>
          <w:i/>
          <w:lang w:val="lt-LT"/>
        </w:rPr>
        <w:fldChar w:fldCharType="end"/>
      </w:r>
      <w:r w:rsidR="002C1E57">
        <w:rPr>
          <w:lang w:val="lt-LT"/>
        </w:rPr>
        <w:t>).</w:t>
      </w:r>
      <w:r w:rsidR="002C1E57" w:rsidRPr="002C1E57">
        <w:rPr>
          <w:lang w:val="lt-LT"/>
        </w:rPr>
        <w:t xml:space="preserve"> </w:t>
      </w:r>
      <w:r w:rsidR="002C1E57">
        <w:rPr>
          <w:lang w:val="lt-LT"/>
        </w:rPr>
        <w:t>Naudos komponento įvertis apskaičiuojamas, darant prielaidą, kad šiluminė energija</w:t>
      </w:r>
      <w:r w:rsidR="002C1E57" w:rsidRPr="00846ACA">
        <w:rPr>
          <w:lang w:val="lt-LT"/>
        </w:rPr>
        <w:t xml:space="preserve"> ti</w:t>
      </w:r>
      <w:r w:rsidR="002C1E57">
        <w:rPr>
          <w:lang w:val="lt-LT"/>
        </w:rPr>
        <w:t>ekiama tik 6 mėn. (patalpų šildymas</w:t>
      </w:r>
      <w:r w:rsidR="00FE6832">
        <w:rPr>
          <w:lang w:val="lt-LT"/>
        </w:rPr>
        <w:t xml:space="preserve"> šaltuoju metu laiku</w:t>
      </w:r>
      <w:r w:rsidR="002C1E57">
        <w:rPr>
          <w:lang w:val="lt-LT"/>
        </w:rPr>
        <w:t>).</w:t>
      </w:r>
    </w:p>
    <w:p w:rsidR="00FE6832" w:rsidRPr="00DC75CC" w:rsidRDefault="00FE6832" w:rsidP="002C1E57">
      <w:pPr>
        <w:jc w:val="both"/>
        <w:rPr>
          <w:lang w:val="lt-LT"/>
        </w:rPr>
      </w:pPr>
    </w:p>
    <w:p w:rsidR="00846ACA" w:rsidRPr="00DC75CC" w:rsidRDefault="00476D29" w:rsidP="00476D29">
      <w:pPr>
        <w:pStyle w:val="Caption"/>
        <w:keepNext/>
        <w:jc w:val="both"/>
        <w:rPr>
          <w:i w:val="0"/>
          <w:color w:val="auto"/>
          <w:sz w:val="22"/>
          <w:szCs w:val="22"/>
          <w:lang w:val="lt-LT"/>
        </w:rPr>
      </w:pPr>
      <w:bookmarkStart w:id="0" w:name="_Ref447869639"/>
      <w:r w:rsidRPr="00DC75CC">
        <w:rPr>
          <w:i w:val="0"/>
          <w:color w:val="auto"/>
          <w:sz w:val="22"/>
          <w:szCs w:val="22"/>
          <w:lang w:val="lt-LT"/>
        </w:rPr>
        <w:t xml:space="preserve">Lentelė </w:t>
      </w:r>
      <w:r w:rsidRPr="00DC75CC">
        <w:rPr>
          <w:i w:val="0"/>
          <w:color w:val="auto"/>
          <w:sz w:val="22"/>
          <w:szCs w:val="22"/>
          <w:lang w:val="lt-LT"/>
        </w:rPr>
        <w:fldChar w:fldCharType="begin"/>
      </w:r>
      <w:r w:rsidRPr="00DC75CC">
        <w:rPr>
          <w:i w:val="0"/>
          <w:color w:val="auto"/>
          <w:sz w:val="22"/>
          <w:szCs w:val="22"/>
          <w:lang w:val="lt-LT"/>
        </w:rPr>
        <w:instrText xml:space="preserve"> SEQ Lentelė \* ARABIC </w:instrText>
      </w:r>
      <w:r w:rsidRPr="00DC75CC">
        <w:rPr>
          <w:i w:val="0"/>
          <w:color w:val="auto"/>
          <w:sz w:val="22"/>
          <w:szCs w:val="22"/>
          <w:lang w:val="lt-LT"/>
        </w:rPr>
        <w:fldChar w:fldCharType="separate"/>
      </w:r>
      <w:r w:rsidRPr="00DC75CC">
        <w:rPr>
          <w:i w:val="0"/>
          <w:noProof/>
          <w:color w:val="auto"/>
          <w:sz w:val="22"/>
          <w:szCs w:val="22"/>
          <w:lang w:val="lt-LT"/>
        </w:rPr>
        <w:t>1</w:t>
      </w:r>
      <w:r w:rsidRPr="00DC75CC">
        <w:rPr>
          <w:i w:val="0"/>
          <w:color w:val="auto"/>
          <w:sz w:val="22"/>
          <w:szCs w:val="22"/>
          <w:lang w:val="lt-LT"/>
        </w:rPr>
        <w:fldChar w:fldCharType="end"/>
      </w:r>
      <w:r w:rsidR="00FE6832" w:rsidRPr="00DC75CC">
        <w:rPr>
          <w:i w:val="0"/>
          <w:color w:val="auto"/>
          <w:sz w:val="22"/>
          <w:szCs w:val="22"/>
          <w:lang w:val="lt-LT"/>
        </w:rPr>
        <w:t>.</w:t>
      </w:r>
      <w:r w:rsidRPr="00DC75CC">
        <w:rPr>
          <w:i w:val="0"/>
          <w:color w:val="auto"/>
          <w:sz w:val="22"/>
          <w:szCs w:val="22"/>
          <w:lang w:val="lt-LT"/>
        </w:rPr>
        <w:t xml:space="preserve"> </w:t>
      </w:r>
      <w:r w:rsidR="00FE6832" w:rsidRPr="00DC75CC">
        <w:rPr>
          <w:i w:val="0"/>
          <w:color w:val="auto"/>
          <w:sz w:val="22"/>
          <w:szCs w:val="22"/>
          <w:lang w:val="lt-LT"/>
        </w:rPr>
        <w:t xml:space="preserve">Šilumos tiekimo patikimumo padidėjimo </w:t>
      </w:r>
      <w:r w:rsidR="00BF5E0E" w:rsidRPr="00DC75CC">
        <w:rPr>
          <w:i w:val="0"/>
          <w:color w:val="auto"/>
          <w:sz w:val="22"/>
          <w:szCs w:val="22"/>
          <w:lang w:val="lt-LT"/>
        </w:rPr>
        <w:t xml:space="preserve">komponento </w:t>
      </w:r>
      <w:r w:rsidR="00FE6832" w:rsidRPr="00DC75CC">
        <w:rPr>
          <w:i w:val="0"/>
          <w:color w:val="auto"/>
          <w:sz w:val="22"/>
          <w:szCs w:val="22"/>
          <w:lang w:val="lt-LT"/>
        </w:rPr>
        <w:t xml:space="preserve">įverčio </w:t>
      </w:r>
      <w:r w:rsidR="00BF5E0E" w:rsidRPr="00DC75CC">
        <w:rPr>
          <w:i w:val="0"/>
          <w:color w:val="auto"/>
          <w:sz w:val="22"/>
          <w:szCs w:val="22"/>
          <w:lang w:val="lt-LT"/>
        </w:rPr>
        <w:t>apskaičiavime naudojami BVP sektoriai</w:t>
      </w:r>
      <w:bookmarkEnd w:id="0"/>
      <w:r w:rsidR="00BF5E0E" w:rsidRPr="00DC75CC">
        <w:rPr>
          <w:i w:val="0"/>
          <w:color w:val="auto"/>
          <w:sz w:val="22"/>
          <w:szCs w:val="22"/>
          <w:lang w:val="lt-LT"/>
        </w:rPr>
        <w:t xml:space="preserve">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D187A" w:rsidTr="002B5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1" w:type="dxa"/>
          </w:tcPr>
          <w:p w:rsidR="00DD187A" w:rsidRDefault="00846ACA" w:rsidP="00BF5E0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Sritys</w:t>
            </w:r>
          </w:p>
        </w:tc>
        <w:tc>
          <w:tcPr>
            <w:tcW w:w="4981" w:type="dxa"/>
          </w:tcPr>
          <w:p w:rsidR="00DD187A" w:rsidRDefault="00BF5E0E" w:rsidP="00BF5E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t-LT"/>
              </w:rPr>
            </w:pPr>
            <w:r>
              <w:rPr>
                <w:lang w:val="lt-LT"/>
              </w:rPr>
              <w:t>BVP,</w:t>
            </w:r>
            <w:r w:rsidR="00DD187A">
              <w:rPr>
                <w:lang w:val="lt-LT"/>
              </w:rPr>
              <w:t xml:space="preserve"> sektorius</w:t>
            </w:r>
          </w:p>
        </w:tc>
      </w:tr>
      <w:tr w:rsidR="00DD187A" w:rsidTr="002B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</w:tcPr>
          <w:p w:rsidR="00DD187A" w:rsidRDefault="00DD187A" w:rsidP="00BF5E0E">
            <w:pPr>
              <w:jc w:val="both"/>
              <w:rPr>
                <w:lang w:val="lt-LT"/>
              </w:rPr>
            </w:pPr>
            <w:r w:rsidRPr="00DD187A">
              <w:rPr>
                <w:lang w:val="lt-LT"/>
              </w:rPr>
              <w:t>Pramonė</w:t>
            </w:r>
          </w:p>
        </w:tc>
        <w:tc>
          <w:tcPr>
            <w:tcW w:w="4981" w:type="dxa"/>
          </w:tcPr>
          <w:p w:rsidR="00DD187A" w:rsidRDefault="00DD187A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Apdirbamoji gamyba</w:t>
            </w:r>
            <w:r>
              <w:rPr>
                <w:lang w:val="lt-LT"/>
              </w:rPr>
              <w:t xml:space="preserve"> (C)</w:t>
            </w:r>
          </w:p>
        </w:tc>
      </w:tr>
      <w:tr w:rsidR="00DD187A" w:rsidTr="002B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Merge w:val="restart"/>
            <w:vAlign w:val="center"/>
          </w:tcPr>
          <w:p w:rsidR="00DD187A" w:rsidRDefault="00DD187A" w:rsidP="002B5776">
            <w:pPr>
              <w:rPr>
                <w:lang w:val="lt-LT"/>
              </w:rPr>
            </w:pPr>
            <w:r w:rsidRPr="00DD187A">
              <w:rPr>
                <w:lang w:val="lt-LT"/>
              </w:rPr>
              <w:t xml:space="preserve">Paslaugų </w:t>
            </w:r>
            <w:r>
              <w:rPr>
                <w:lang w:val="lt-LT"/>
              </w:rPr>
              <w:t>ir kitos veiklos</w:t>
            </w:r>
          </w:p>
        </w:tc>
        <w:tc>
          <w:tcPr>
            <w:tcW w:w="4981" w:type="dxa"/>
          </w:tcPr>
          <w:p w:rsidR="00DD187A" w:rsidRDefault="00DD187A" w:rsidP="00BF5E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Didmeninė ir mažmeninė prekyba; variklinių transporto priemonių ir motociklų remontas</w:t>
            </w:r>
            <w:r>
              <w:rPr>
                <w:lang w:val="lt-LT"/>
              </w:rPr>
              <w:t xml:space="preserve"> (</w:t>
            </w:r>
            <w:r w:rsidR="00BF5E0E">
              <w:rPr>
                <w:lang w:val="lt-LT"/>
              </w:rPr>
              <w:t>G</w:t>
            </w:r>
            <w:r>
              <w:rPr>
                <w:lang w:val="lt-LT"/>
              </w:rPr>
              <w:t>)</w:t>
            </w:r>
          </w:p>
        </w:tc>
      </w:tr>
      <w:tr w:rsidR="00DD187A" w:rsidTr="002B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Merge/>
          </w:tcPr>
          <w:p w:rsidR="00DD187A" w:rsidRDefault="00DD187A" w:rsidP="00BF5E0E">
            <w:pPr>
              <w:jc w:val="both"/>
              <w:rPr>
                <w:lang w:val="lt-LT"/>
              </w:rPr>
            </w:pPr>
          </w:p>
        </w:tc>
        <w:tc>
          <w:tcPr>
            <w:tcW w:w="4981" w:type="dxa"/>
          </w:tcPr>
          <w:p w:rsidR="00DD187A" w:rsidRDefault="00DD187A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Apgyvendinimo ir maitinimo paslaugų veikla</w:t>
            </w:r>
            <w:r>
              <w:rPr>
                <w:lang w:val="lt-LT"/>
              </w:rPr>
              <w:t xml:space="preserve"> (</w:t>
            </w:r>
            <w:r w:rsidR="00BF5E0E">
              <w:rPr>
                <w:lang w:val="lt-LT"/>
              </w:rPr>
              <w:t>I</w:t>
            </w:r>
            <w:r>
              <w:rPr>
                <w:lang w:val="lt-LT"/>
              </w:rPr>
              <w:t>)</w:t>
            </w:r>
          </w:p>
        </w:tc>
      </w:tr>
      <w:tr w:rsidR="00DD187A" w:rsidTr="002B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Merge/>
          </w:tcPr>
          <w:p w:rsidR="00DD187A" w:rsidRDefault="00DD187A" w:rsidP="00BF5E0E">
            <w:pPr>
              <w:jc w:val="both"/>
              <w:rPr>
                <w:lang w:val="lt-LT"/>
              </w:rPr>
            </w:pPr>
          </w:p>
        </w:tc>
        <w:tc>
          <w:tcPr>
            <w:tcW w:w="4981" w:type="dxa"/>
          </w:tcPr>
          <w:p w:rsidR="00DD187A" w:rsidRDefault="00DD187A" w:rsidP="00BF5E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Informacija ir ryšiai</w:t>
            </w:r>
            <w:r w:rsidR="00BF5E0E">
              <w:rPr>
                <w:lang w:val="lt-LT"/>
              </w:rPr>
              <w:t xml:space="preserve"> (J)</w:t>
            </w:r>
          </w:p>
        </w:tc>
      </w:tr>
      <w:tr w:rsidR="00DD187A" w:rsidTr="002B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Merge/>
          </w:tcPr>
          <w:p w:rsidR="00DD187A" w:rsidRDefault="00DD187A" w:rsidP="00BF5E0E">
            <w:pPr>
              <w:jc w:val="both"/>
              <w:rPr>
                <w:lang w:val="lt-LT"/>
              </w:rPr>
            </w:pPr>
          </w:p>
        </w:tc>
        <w:tc>
          <w:tcPr>
            <w:tcW w:w="4981" w:type="dxa"/>
          </w:tcPr>
          <w:p w:rsidR="00DD187A" w:rsidRDefault="00DD187A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Finansinė ir draudimo veikla</w:t>
            </w:r>
            <w:r w:rsidR="00BF5E0E">
              <w:rPr>
                <w:lang w:val="lt-LT"/>
              </w:rPr>
              <w:t xml:space="preserve"> (K)</w:t>
            </w:r>
          </w:p>
        </w:tc>
      </w:tr>
      <w:tr w:rsidR="00DD187A" w:rsidTr="002B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Merge/>
          </w:tcPr>
          <w:p w:rsidR="00DD187A" w:rsidRDefault="00DD187A" w:rsidP="00BF5E0E">
            <w:pPr>
              <w:jc w:val="both"/>
              <w:rPr>
                <w:lang w:val="lt-LT"/>
              </w:rPr>
            </w:pPr>
          </w:p>
        </w:tc>
        <w:tc>
          <w:tcPr>
            <w:tcW w:w="4981" w:type="dxa"/>
          </w:tcPr>
          <w:p w:rsidR="00DD187A" w:rsidRPr="00DD187A" w:rsidRDefault="00DD187A" w:rsidP="00BF5E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Nekilnojamojo turto operacijos</w:t>
            </w:r>
            <w:r w:rsidR="00BF5E0E">
              <w:rPr>
                <w:lang w:val="lt-LT"/>
              </w:rPr>
              <w:t xml:space="preserve"> (L)</w:t>
            </w:r>
          </w:p>
        </w:tc>
      </w:tr>
      <w:tr w:rsidR="00DD187A" w:rsidTr="002B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Merge/>
          </w:tcPr>
          <w:p w:rsidR="00DD187A" w:rsidRDefault="00DD187A" w:rsidP="00BF5E0E">
            <w:pPr>
              <w:jc w:val="both"/>
              <w:rPr>
                <w:lang w:val="lt-LT"/>
              </w:rPr>
            </w:pPr>
          </w:p>
        </w:tc>
        <w:tc>
          <w:tcPr>
            <w:tcW w:w="4981" w:type="dxa"/>
          </w:tcPr>
          <w:p w:rsidR="00DD187A" w:rsidRPr="00DD187A" w:rsidRDefault="00DD187A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Profesinė, mokslinė ir techninė veikla</w:t>
            </w:r>
            <w:r>
              <w:rPr>
                <w:lang w:val="lt-LT"/>
              </w:rPr>
              <w:t xml:space="preserve"> (M_N)</w:t>
            </w:r>
          </w:p>
        </w:tc>
      </w:tr>
      <w:tr w:rsidR="00DD187A" w:rsidTr="002B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Merge/>
          </w:tcPr>
          <w:p w:rsidR="00DD187A" w:rsidRDefault="00DD187A" w:rsidP="00BF5E0E">
            <w:pPr>
              <w:jc w:val="both"/>
              <w:rPr>
                <w:lang w:val="lt-LT"/>
              </w:rPr>
            </w:pPr>
          </w:p>
        </w:tc>
        <w:tc>
          <w:tcPr>
            <w:tcW w:w="4981" w:type="dxa"/>
          </w:tcPr>
          <w:p w:rsidR="00DD187A" w:rsidRPr="00DD187A" w:rsidRDefault="00DD187A" w:rsidP="00BF5E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Viešasis valdymas ir gynyba; švietimas; žmonių sveikatos priežiūra ir socialinis darbas</w:t>
            </w:r>
            <w:r>
              <w:rPr>
                <w:lang w:val="lt-LT"/>
              </w:rPr>
              <w:t xml:space="preserve"> (O_P_Q)</w:t>
            </w:r>
          </w:p>
        </w:tc>
      </w:tr>
      <w:tr w:rsidR="00DD187A" w:rsidTr="002B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dxa"/>
            <w:vMerge/>
          </w:tcPr>
          <w:p w:rsidR="00DD187A" w:rsidRDefault="00DD187A" w:rsidP="00BF5E0E">
            <w:pPr>
              <w:jc w:val="both"/>
              <w:rPr>
                <w:lang w:val="lt-LT"/>
              </w:rPr>
            </w:pPr>
          </w:p>
        </w:tc>
        <w:tc>
          <w:tcPr>
            <w:tcW w:w="4981" w:type="dxa"/>
          </w:tcPr>
          <w:p w:rsidR="00DD187A" w:rsidRPr="00DD187A" w:rsidRDefault="00DD187A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t-LT"/>
              </w:rPr>
            </w:pPr>
            <w:r w:rsidRPr="00DD187A">
              <w:rPr>
                <w:lang w:val="lt-LT"/>
              </w:rPr>
              <w:t>Meninė, pramoginė ir poilsio organizavimo veikla, namų ūkio reikmenų remontas ir kitos paslaugos</w:t>
            </w:r>
            <w:r>
              <w:rPr>
                <w:lang w:val="lt-LT"/>
              </w:rPr>
              <w:t xml:space="preserve"> (R_TO_U)</w:t>
            </w:r>
          </w:p>
        </w:tc>
      </w:tr>
    </w:tbl>
    <w:p w:rsidR="00846ACA" w:rsidRDefault="00846ACA" w:rsidP="00BF5E0E">
      <w:pPr>
        <w:jc w:val="both"/>
        <w:rPr>
          <w:lang w:val="lt-LT"/>
        </w:rPr>
      </w:pPr>
    </w:p>
    <w:p w:rsidR="00DC75CC" w:rsidRDefault="00DD187A" w:rsidP="00BF5E0E">
      <w:pPr>
        <w:jc w:val="both"/>
        <w:rPr>
          <w:lang w:val="lt-LT"/>
        </w:rPr>
      </w:pPr>
      <w:r w:rsidRPr="00DD187A">
        <w:rPr>
          <w:lang w:val="lt-LT"/>
        </w:rPr>
        <w:t xml:space="preserve">Buitiniams vartotojams nepatiektos </w:t>
      </w:r>
      <w:r>
        <w:rPr>
          <w:lang w:val="lt-LT"/>
        </w:rPr>
        <w:t>šiluminės</w:t>
      </w:r>
      <w:r w:rsidRPr="00DD187A">
        <w:rPr>
          <w:lang w:val="lt-LT"/>
        </w:rPr>
        <w:t xml:space="preserve"> energijos sąnaudos nustatomos panašiu būdu – metines namų ūkių pajamas dalijant iš metinio buitinio </w:t>
      </w:r>
      <w:r w:rsidR="002F7D9A">
        <w:rPr>
          <w:lang w:val="lt-LT"/>
        </w:rPr>
        <w:t>šiluminės</w:t>
      </w:r>
      <w:r w:rsidRPr="00DD187A">
        <w:rPr>
          <w:lang w:val="lt-LT"/>
        </w:rPr>
        <w:t xml:space="preserve"> ene</w:t>
      </w:r>
      <w:r w:rsidR="00846ACA">
        <w:rPr>
          <w:lang w:val="lt-LT"/>
        </w:rPr>
        <w:t xml:space="preserve">rgijos suvartojimo, darant prielaidą, </w:t>
      </w:r>
      <w:r w:rsidR="00640CDA">
        <w:rPr>
          <w:lang w:val="lt-LT"/>
        </w:rPr>
        <w:t xml:space="preserve">kad </w:t>
      </w:r>
      <w:r w:rsidR="00640CDA" w:rsidRPr="00846ACA">
        <w:rPr>
          <w:lang w:val="lt-LT"/>
        </w:rPr>
        <w:t>80 proc.</w:t>
      </w:r>
      <w:r w:rsidR="00640CDA">
        <w:rPr>
          <w:lang w:val="lt-LT"/>
        </w:rPr>
        <w:t xml:space="preserve"> visos jiems </w:t>
      </w:r>
      <w:r w:rsidR="00640CDA" w:rsidRPr="00DC75CC">
        <w:rPr>
          <w:lang w:val="lt-LT"/>
        </w:rPr>
        <w:t>pateiktos energijos sudaro</w:t>
      </w:r>
      <w:r w:rsidR="005D6654" w:rsidRPr="00DC75CC">
        <w:rPr>
          <w:lang w:val="lt-LT"/>
        </w:rPr>
        <w:t xml:space="preserve"> patalpų šildymas ir 20 proc. karštas vanduo, kartu atsižvelgiant į tai, jog patalpų šildymas aktualus vidutiniškai 6 mėn., o karšto vandens poreikis yra visus metus.</w:t>
      </w:r>
      <w:r w:rsidR="006E7473" w:rsidRPr="00DC75CC">
        <w:rPr>
          <w:lang w:val="lt-LT"/>
        </w:rPr>
        <w:t xml:space="preserve"> </w:t>
      </w:r>
    </w:p>
    <w:p w:rsidR="00846ACA" w:rsidRPr="00DC75CC" w:rsidRDefault="00846ACA" w:rsidP="00BF5E0E">
      <w:pPr>
        <w:jc w:val="both"/>
        <w:rPr>
          <w:lang w:val="lt-LT"/>
        </w:rPr>
      </w:pPr>
      <w:r w:rsidRPr="00520A62">
        <w:rPr>
          <w:lang w:val="lt-LT"/>
        </w:rPr>
        <w:t xml:space="preserve">Bendras naudos </w:t>
      </w:r>
      <w:r w:rsidR="006E7473" w:rsidRPr="00520A62">
        <w:rPr>
          <w:lang w:val="lt-LT"/>
        </w:rPr>
        <w:t>komponento</w:t>
      </w:r>
      <w:r w:rsidRPr="00DC75CC">
        <w:rPr>
          <w:lang w:val="lt-LT"/>
        </w:rPr>
        <w:t xml:space="preserve"> </w:t>
      </w:r>
      <w:r w:rsidR="006E7473" w:rsidRPr="00DC75CC">
        <w:rPr>
          <w:lang w:val="lt-LT"/>
        </w:rPr>
        <w:t xml:space="preserve">įvertis </w:t>
      </w:r>
      <w:r w:rsidRPr="00DC75CC">
        <w:rPr>
          <w:lang w:val="lt-LT"/>
        </w:rPr>
        <w:t>yra apskaičiuojamas</w:t>
      </w:r>
      <w:r w:rsidR="006E7473" w:rsidRPr="00DC75CC">
        <w:rPr>
          <w:lang w:val="lt-LT"/>
        </w:rPr>
        <w:t>,</w:t>
      </w:r>
      <w:r w:rsidRPr="00DC75CC">
        <w:rPr>
          <w:lang w:val="lt-LT"/>
        </w:rPr>
        <w:t xml:space="preserve"> darant prielaidą, kad 70 proc. visos šiluminės</w:t>
      </w:r>
      <w:r w:rsidR="00AD6A3C" w:rsidRPr="00DC75CC">
        <w:rPr>
          <w:lang w:val="lt-LT"/>
        </w:rPr>
        <w:t xml:space="preserve"> energijos suvartoja namų ūkiai</w:t>
      </w:r>
      <w:r w:rsidR="005A7BC7" w:rsidRPr="00DC75CC">
        <w:rPr>
          <w:lang w:val="lt-LT"/>
        </w:rPr>
        <w:t xml:space="preserve">, </w:t>
      </w:r>
      <w:r w:rsidRPr="00DC75CC">
        <w:rPr>
          <w:lang w:val="lt-LT"/>
        </w:rPr>
        <w:t>30 proc. likusieji sektoriai</w:t>
      </w:r>
      <w:r w:rsidR="00A723DE" w:rsidRPr="00DC75CC">
        <w:rPr>
          <w:lang w:val="lt-LT"/>
        </w:rPr>
        <w:t xml:space="preserve"> (ž</w:t>
      </w:r>
      <w:r w:rsidR="00BF5E0E" w:rsidRPr="00DC75CC">
        <w:rPr>
          <w:lang w:val="lt-LT"/>
        </w:rPr>
        <w:t xml:space="preserve">r. </w:t>
      </w:r>
      <w:r w:rsidR="00476D29" w:rsidRPr="00DC75CC">
        <w:rPr>
          <w:lang w:val="lt-LT"/>
        </w:rPr>
        <w:fldChar w:fldCharType="begin"/>
      </w:r>
      <w:r w:rsidR="00476D29" w:rsidRPr="00DC75CC">
        <w:rPr>
          <w:lang w:val="lt-LT"/>
        </w:rPr>
        <w:instrText xml:space="preserve"> REF _Ref447869749 \h </w:instrText>
      </w:r>
      <w:r w:rsidR="00476D29" w:rsidRPr="00DC75CC">
        <w:rPr>
          <w:lang w:val="lt-LT"/>
        </w:rPr>
      </w:r>
      <w:r w:rsidR="00476D29" w:rsidRPr="00DC75CC">
        <w:rPr>
          <w:lang w:val="lt-LT"/>
        </w:rPr>
        <w:fldChar w:fldCharType="separate"/>
      </w:r>
      <w:r w:rsidR="00476D29" w:rsidRPr="00DC75CC">
        <w:rPr>
          <w:i/>
          <w:lang w:val="lt-LT"/>
        </w:rPr>
        <w:t xml:space="preserve">Lentelė </w:t>
      </w:r>
      <w:r w:rsidR="00476D29" w:rsidRPr="00DC75CC">
        <w:rPr>
          <w:i/>
          <w:noProof/>
          <w:lang w:val="lt-LT"/>
        </w:rPr>
        <w:t>2</w:t>
      </w:r>
      <w:r w:rsidR="00476D29" w:rsidRPr="00DC75CC">
        <w:rPr>
          <w:lang w:val="lt-LT"/>
        </w:rPr>
        <w:fldChar w:fldCharType="end"/>
      </w:r>
      <w:r w:rsidR="00BF5E0E" w:rsidRPr="00DC75CC">
        <w:rPr>
          <w:lang w:val="lt-LT"/>
        </w:rPr>
        <w:t>)</w:t>
      </w:r>
      <w:r w:rsidR="00A723DE" w:rsidRPr="00DC75CC">
        <w:rPr>
          <w:lang w:val="lt-LT"/>
        </w:rPr>
        <w:t>.</w:t>
      </w:r>
      <w:r w:rsidR="006D2B6E" w:rsidRPr="00DC75CC">
        <w:rPr>
          <w:lang w:val="lt-LT"/>
        </w:rPr>
        <w:t xml:space="preserve"> </w:t>
      </w:r>
      <w:r w:rsidR="00520A62">
        <w:rPr>
          <w:lang w:val="lt-LT"/>
        </w:rPr>
        <w:t xml:space="preserve">Kai nėra galimybės patikimai įvertinti vartotojų proporcijų, tuomet </w:t>
      </w:r>
      <w:r w:rsidR="00D47A1B">
        <w:rPr>
          <w:lang w:val="lt-LT"/>
        </w:rPr>
        <w:t>turi</w:t>
      </w:r>
      <w:r w:rsidR="00520A62">
        <w:rPr>
          <w:lang w:val="lt-LT"/>
        </w:rPr>
        <w:t xml:space="preserve"> būti taikomas bendrasis naudos komponento įvertis. </w:t>
      </w:r>
      <w:r w:rsidR="006D2B6E" w:rsidRPr="00DC75CC">
        <w:rPr>
          <w:lang w:val="lt-LT"/>
        </w:rPr>
        <w:t>Visos šios skaičiavimams naudojamos proporcijos nustatytos, vadovaujantis LŠTA teikiamais duomenimis.</w:t>
      </w:r>
    </w:p>
    <w:p w:rsidR="00BF5E0E" w:rsidRPr="00DC75CC" w:rsidRDefault="00476D29" w:rsidP="00476D29">
      <w:pPr>
        <w:pStyle w:val="Caption"/>
        <w:keepNext/>
        <w:jc w:val="both"/>
        <w:rPr>
          <w:i w:val="0"/>
          <w:color w:val="auto"/>
          <w:sz w:val="22"/>
          <w:szCs w:val="22"/>
          <w:lang w:val="lt-LT"/>
        </w:rPr>
      </w:pPr>
      <w:bookmarkStart w:id="1" w:name="_Ref447869749"/>
      <w:r w:rsidRPr="00DC75CC">
        <w:rPr>
          <w:i w:val="0"/>
          <w:color w:val="auto"/>
          <w:sz w:val="22"/>
          <w:szCs w:val="22"/>
          <w:lang w:val="lt-LT"/>
        </w:rPr>
        <w:t xml:space="preserve">Lentelė </w:t>
      </w:r>
      <w:r w:rsidRPr="00DC75CC">
        <w:rPr>
          <w:i w:val="0"/>
          <w:color w:val="auto"/>
          <w:sz w:val="22"/>
          <w:szCs w:val="22"/>
          <w:lang w:val="lt-LT"/>
        </w:rPr>
        <w:fldChar w:fldCharType="begin"/>
      </w:r>
      <w:r w:rsidRPr="00DC75CC">
        <w:rPr>
          <w:i w:val="0"/>
          <w:color w:val="auto"/>
          <w:sz w:val="22"/>
          <w:szCs w:val="22"/>
          <w:lang w:val="lt-LT"/>
        </w:rPr>
        <w:instrText xml:space="preserve"> SEQ Lentelė \* ARABIC </w:instrText>
      </w:r>
      <w:r w:rsidRPr="00DC75CC">
        <w:rPr>
          <w:i w:val="0"/>
          <w:color w:val="auto"/>
          <w:sz w:val="22"/>
          <w:szCs w:val="22"/>
          <w:lang w:val="lt-LT"/>
        </w:rPr>
        <w:fldChar w:fldCharType="separate"/>
      </w:r>
      <w:r w:rsidRPr="00DC75CC">
        <w:rPr>
          <w:i w:val="0"/>
          <w:noProof/>
          <w:color w:val="auto"/>
          <w:sz w:val="22"/>
          <w:szCs w:val="22"/>
          <w:lang w:val="lt-LT"/>
        </w:rPr>
        <w:t>2</w:t>
      </w:r>
      <w:r w:rsidRPr="00DC75CC">
        <w:rPr>
          <w:i w:val="0"/>
          <w:color w:val="auto"/>
          <w:sz w:val="22"/>
          <w:szCs w:val="22"/>
          <w:lang w:val="lt-LT"/>
        </w:rPr>
        <w:fldChar w:fldCharType="end"/>
      </w:r>
      <w:r w:rsidR="00A723DE" w:rsidRPr="00DC75CC">
        <w:rPr>
          <w:i w:val="0"/>
          <w:color w:val="auto"/>
          <w:sz w:val="22"/>
          <w:szCs w:val="22"/>
          <w:lang w:val="lt-LT"/>
        </w:rPr>
        <w:t>.</w:t>
      </w:r>
      <w:r w:rsidRPr="00DC75CC">
        <w:rPr>
          <w:i w:val="0"/>
          <w:color w:val="auto"/>
          <w:sz w:val="22"/>
          <w:szCs w:val="22"/>
          <w:lang w:val="lt-LT"/>
        </w:rPr>
        <w:t xml:space="preserve"> Įverčio Šilumos tiekimo patikimumo padidėjimas reikšmės 2016 m.</w:t>
      </w:r>
      <w:bookmarkEnd w:id="1"/>
      <w:r w:rsidR="00A723DE" w:rsidRPr="00DC75CC">
        <w:rPr>
          <w:i w:val="0"/>
          <w:color w:val="auto"/>
          <w:sz w:val="22"/>
          <w:szCs w:val="22"/>
          <w:lang w:val="lt-LT"/>
        </w:rPr>
        <w:t>, Eur.</w:t>
      </w:r>
    </w:p>
    <w:tbl>
      <w:tblPr>
        <w:tblStyle w:val="ListTable3-Accent1"/>
        <w:tblW w:w="10060" w:type="dxa"/>
        <w:tblLayout w:type="fixed"/>
        <w:tblLook w:val="04A0" w:firstRow="1" w:lastRow="0" w:firstColumn="1" w:lastColumn="0" w:noHBand="0" w:noVBand="1"/>
      </w:tblPr>
      <w:tblGrid>
        <w:gridCol w:w="3109"/>
        <w:gridCol w:w="1701"/>
        <w:gridCol w:w="1848"/>
        <w:gridCol w:w="1554"/>
        <w:gridCol w:w="1848"/>
      </w:tblGrid>
      <w:tr w:rsidR="00846ACA" w:rsidRPr="00DC75CC" w:rsidTr="00DC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09" w:type="dxa"/>
            <w:noWrap/>
            <w:hideMark/>
          </w:tcPr>
          <w:p w:rsidR="00846ACA" w:rsidRPr="00DC75CC" w:rsidRDefault="00476D29" w:rsidP="00BF5E0E">
            <w:pPr>
              <w:jc w:val="both"/>
              <w:rPr>
                <w:lang w:val="lt-LT"/>
              </w:rPr>
            </w:pPr>
            <w:r w:rsidRPr="00DC75CC">
              <w:rPr>
                <w:b w:val="0"/>
                <w:bCs w:val="0"/>
                <w:lang w:val="lt-LT"/>
              </w:rPr>
              <w:t xml:space="preserve">Šilumos tiekimo patikimumo padidėjimas </w:t>
            </w:r>
            <w:r w:rsidR="00846ACA" w:rsidRPr="00DC75CC">
              <w:rPr>
                <w:b w:val="0"/>
                <w:bCs w:val="0"/>
                <w:lang w:val="lt-LT"/>
              </w:rPr>
              <w:t>(eur/kWh)</w:t>
            </w:r>
          </w:p>
        </w:tc>
        <w:tc>
          <w:tcPr>
            <w:tcW w:w="1701" w:type="dxa"/>
            <w:hideMark/>
          </w:tcPr>
          <w:p w:rsidR="00846ACA" w:rsidRPr="00DC75CC" w:rsidRDefault="00846ACA" w:rsidP="00BF5E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lt-LT"/>
              </w:rPr>
            </w:pPr>
            <w:r w:rsidRPr="00DC75CC">
              <w:rPr>
                <w:b w:val="0"/>
                <w:bCs w:val="0"/>
                <w:lang w:val="lt-LT"/>
              </w:rPr>
              <w:t>Pramonėje</w:t>
            </w:r>
          </w:p>
        </w:tc>
        <w:tc>
          <w:tcPr>
            <w:tcW w:w="1848" w:type="dxa"/>
            <w:hideMark/>
          </w:tcPr>
          <w:p w:rsidR="00846ACA" w:rsidRPr="00DC75CC" w:rsidRDefault="00846ACA" w:rsidP="00BF5E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lt-LT"/>
              </w:rPr>
            </w:pPr>
            <w:r w:rsidRPr="00DC75CC">
              <w:rPr>
                <w:b w:val="0"/>
                <w:bCs w:val="0"/>
                <w:lang w:val="lt-LT"/>
              </w:rPr>
              <w:t>Paslaugų sektoriuje ir kitose veiklose</w:t>
            </w:r>
          </w:p>
        </w:tc>
        <w:tc>
          <w:tcPr>
            <w:tcW w:w="1554" w:type="dxa"/>
            <w:hideMark/>
          </w:tcPr>
          <w:p w:rsidR="00846ACA" w:rsidRPr="00DC75CC" w:rsidRDefault="00846ACA" w:rsidP="00BF5E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lt-LT"/>
              </w:rPr>
            </w:pPr>
            <w:r w:rsidRPr="00DC75CC">
              <w:rPr>
                <w:b w:val="0"/>
                <w:bCs w:val="0"/>
                <w:lang w:val="lt-LT"/>
              </w:rPr>
              <w:t>Namų ūkiams</w:t>
            </w:r>
          </w:p>
        </w:tc>
        <w:tc>
          <w:tcPr>
            <w:tcW w:w="1848" w:type="dxa"/>
            <w:hideMark/>
          </w:tcPr>
          <w:p w:rsidR="00846ACA" w:rsidRPr="00DC75CC" w:rsidRDefault="00846ACA" w:rsidP="00BF5E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lt-LT"/>
              </w:rPr>
            </w:pPr>
            <w:r w:rsidRPr="00DC75CC">
              <w:rPr>
                <w:b w:val="0"/>
                <w:bCs w:val="0"/>
                <w:lang w:val="lt-LT"/>
              </w:rPr>
              <w:t>Bendras</w:t>
            </w:r>
          </w:p>
        </w:tc>
      </w:tr>
      <w:tr w:rsidR="00846ACA" w:rsidRPr="00DC75CC" w:rsidTr="00DC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noWrap/>
            <w:hideMark/>
          </w:tcPr>
          <w:p w:rsidR="00846ACA" w:rsidRPr="00DC75CC" w:rsidRDefault="00846ACA" w:rsidP="00BF5E0E">
            <w:pPr>
              <w:jc w:val="both"/>
              <w:rPr>
                <w:b w:val="0"/>
                <w:bCs w:val="0"/>
                <w:lang w:val="lt-LT"/>
              </w:rPr>
            </w:pPr>
            <w:r w:rsidRPr="00DC75CC">
              <w:rPr>
                <w:lang w:val="lt-LT"/>
              </w:rPr>
              <w:t>2016</w:t>
            </w:r>
          </w:p>
        </w:tc>
        <w:tc>
          <w:tcPr>
            <w:tcW w:w="1701" w:type="dxa"/>
            <w:noWrap/>
            <w:hideMark/>
          </w:tcPr>
          <w:p w:rsidR="00846ACA" w:rsidRPr="00DC75CC" w:rsidRDefault="00846ACA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lt-LT"/>
              </w:rPr>
            </w:pPr>
            <w:r w:rsidRPr="00DC75CC">
              <w:rPr>
                <w:b/>
                <w:bCs/>
                <w:lang w:val="lt-LT"/>
              </w:rPr>
              <w:t>1,35</w:t>
            </w:r>
          </w:p>
        </w:tc>
        <w:tc>
          <w:tcPr>
            <w:tcW w:w="1848" w:type="dxa"/>
            <w:noWrap/>
            <w:hideMark/>
          </w:tcPr>
          <w:p w:rsidR="00846ACA" w:rsidRPr="00DC75CC" w:rsidRDefault="00846ACA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lt-LT"/>
              </w:rPr>
            </w:pPr>
            <w:r w:rsidRPr="00DC75CC">
              <w:rPr>
                <w:b/>
                <w:bCs/>
                <w:lang w:val="lt-LT"/>
              </w:rPr>
              <w:t>4,97</w:t>
            </w:r>
          </w:p>
        </w:tc>
        <w:tc>
          <w:tcPr>
            <w:tcW w:w="1554" w:type="dxa"/>
            <w:noWrap/>
            <w:hideMark/>
          </w:tcPr>
          <w:p w:rsidR="00846ACA" w:rsidRPr="00DC75CC" w:rsidRDefault="00846ACA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lt-LT"/>
              </w:rPr>
            </w:pPr>
            <w:r w:rsidRPr="00DC75CC">
              <w:rPr>
                <w:b/>
                <w:bCs/>
                <w:lang w:val="lt-LT"/>
              </w:rPr>
              <w:t>1,51</w:t>
            </w:r>
          </w:p>
        </w:tc>
        <w:tc>
          <w:tcPr>
            <w:tcW w:w="1848" w:type="dxa"/>
            <w:noWrap/>
            <w:hideMark/>
          </w:tcPr>
          <w:p w:rsidR="00846ACA" w:rsidRPr="00DC75CC" w:rsidRDefault="004C429E" w:rsidP="00BF5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lt-LT"/>
              </w:rPr>
            </w:pPr>
            <w:r w:rsidRPr="00DC75CC">
              <w:rPr>
                <w:b/>
                <w:bCs/>
                <w:lang w:val="lt-LT"/>
              </w:rPr>
              <w:t>1,93</w:t>
            </w:r>
          </w:p>
        </w:tc>
      </w:tr>
    </w:tbl>
    <w:p w:rsidR="00846ACA" w:rsidRPr="00DC75CC" w:rsidRDefault="00846ACA" w:rsidP="00BF5E0E">
      <w:pPr>
        <w:jc w:val="both"/>
        <w:rPr>
          <w:lang w:val="lt-LT"/>
        </w:rPr>
      </w:pPr>
    </w:p>
    <w:p w:rsidR="00846ACA" w:rsidRPr="00DC75CC" w:rsidRDefault="00846ACA" w:rsidP="00BF5E0E">
      <w:pPr>
        <w:pStyle w:val="Heading2"/>
        <w:jc w:val="both"/>
        <w:rPr>
          <w:lang w:val="lt-LT"/>
        </w:rPr>
      </w:pPr>
      <w:r w:rsidRPr="00DC75CC">
        <w:rPr>
          <w:lang w:val="lt-LT"/>
        </w:rPr>
        <w:t>Taikymo instrukcijos</w:t>
      </w:r>
    </w:p>
    <w:p w:rsidR="00D23F9F" w:rsidRPr="00DC75CC" w:rsidRDefault="00D23F9F" w:rsidP="00BF5E0E">
      <w:pPr>
        <w:jc w:val="both"/>
        <w:rPr>
          <w:lang w:val="lt-LT"/>
        </w:rPr>
      </w:pPr>
    </w:p>
    <w:p w:rsidR="00846ACA" w:rsidRPr="00DC75CC" w:rsidRDefault="00846ACA" w:rsidP="00BF5E0E">
      <w:pPr>
        <w:jc w:val="both"/>
        <w:rPr>
          <w:lang w:val="lt-LT"/>
        </w:rPr>
      </w:pPr>
      <w:r w:rsidRPr="00DC75CC">
        <w:rPr>
          <w:lang w:val="lt-LT"/>
        </w:rPr>
        <w:t>Siekiant pritaikyti aukščiau pateiktas apskaičiuotas naudos komponento įverčio reikšmes, reikalingi tokie duomenys:</w:t>
      </w:r>
    </w:p>
    <w:p w:rsidR="003F33EF" w:rsidRDefault="00846ACA" w:rsidP="003F33EF">
      <w:pPr>
        <w:pStyle w:val="ListParagraph"/>
        <w:numPr>
          <w:ilvl w:val="0"/>
          <w:numId w:val="1"/>
        </w:numPr>
        <w:jc w:val="both"/>
        <w:rPr>
          <w:lang w:val="lt-LT"/>
        </w:rPr>
      </w:pPr>
      <w:r w:rsidRPr="00DC75CC">
        <w:rPr>
          <w:lang w:val="lt-LT"/>
        </w:rPr>
        <w:t>Bendras patiektos šiluminės energijos kiekio padidėjimas dėl įgyvendinto projekto, lyginant</w:t>
      </w:r>
      <w:r w:rsidRPr="00846ACA">
        <w:rPr>
          <w:lang w:val="lt-LT"/>
        </w:rPr>
        <w:t xml:space="preserve"> </w:t>
      </w:r>
      <w:r w:rsidR="003B2E2E">
        <w:rPr>
          <w:lang w:val="lt-LT"/>
        </w:rPr>
        <w:t xml:space="preserve">su </w:t>
      </w:r>
      <w:r w:rsidRPr="00846ACA">
        <w:rPr>
          <w:lang w:val="lt-LT"/>
        </w:rPr>
        <w:t xml:space="preserve">situacija be projekto įgyvendinimo, kuriai </w:t>
      </w:r>
      <w:r w:rsidR="00635AB8">
        <w:rPr>
          <w:lang w:val="lt-LT"/>
        </w:rPr>
        <w:t>tęsiantis</w:t>
      </w:r>
      <w:r w:rsidRPr="00846ACA">
        <w:rPr>
          <w:lang w:val="lt-LT"/>
        </w:rPr>
        <w:t xml:space="preserve"> sutr</w:t>
      </w:r>
      <w:r w:rsidR="00B96636">
        <w:rPr>
          <w:lang w:val="lt-LT"/>
        </w:rPr>
        <w:t>ikimai būtų dažnesni ar ilgesni</w:t>
      </w:r>
      <w:r w:rsidR="00BB4C1C">
        <w:rPr>
          <w:lang w:val="lt-LT"/>
        </w:rPr>
        <w:t xml:space="preserve"> </w:t>
      </w:r>
      <w:r w:rsidR="00BB4C1C" w:rsidRPr="00CA48EC">
        <w:rPr>
          <w:lang w:val="lt-LT"/>
        </w:rPr>
        <w:t>(</w:t>
      </w:r>
      <w:r w:rsidR="00BB4C1C" w:rsidRPr="00CA48EC">
        <w:rPr>
          <w:i/>
          <w:lang w:val="lt-LT"/>
        </w:rPr>
        <w:t>T</w:t>
      </w:r>
      <w:r w:rsidR="003F33EF" w:rsidRPr="00CA48EC">
        <w:rPr>
          <w:i/>
          <w:lang w:val="lt-LT"/>
        </w:rPr>
        <w:t xml:space="preserve">echninių šiluminės energijos tiekimo sutrikimų tikimybė ir jų likvidavimo trukmė gali būti įvertinta pagal istorinius sutrikimų </w:t>
      </w:r>
      <w:r w:rsidR="00BB4C1C" w:rsidRPr="00CA48EC">
        <w:rPr>
          <w:i/>
          <w:lang w:val="lt-LT"/>
        </w:rPr>
        <w:t xml:space="preserve">ir jų šalimo </w:t>
      </w:r>
      <w:r w:rsidR="003F33EF" w:rsidRPr="00CA48EC">
        <w:rPr>
          <w:i/>
          <w:lang w:val="lt-LT"/>
        </w:rPr>
        <w:t>duomenis</w:t>
      </w:r>
      <w:r w:rsidR="00F662E7">
        <w:rPr>
          <w:lang w:val="lt-LT"/>
        </w:rPr>
        <w:t>)</w:t>
      </w:r>
      <w:r w:rsidR="003F33EF" w:rsidRPr="00846ACA">
        <w:rPr>
          <w:lang w:val="lt-LT"/>
        </w:rPr>
        <w:t>;</w:t>
      </w:r>
    </w:p>
    <w:p w:rsidR="00EA455C" w:rsidRDefault="00065BDC" w:rsidP="00FB7F3B">
      <w:pPr>
        <w:pStyle w:val="ListParagraph"/>
        <w:numPr>
          <w:ilvl w:val="0"/>
          <w:numId w:val="1"/>
        </w:numPr>
        <w:jc w:val="both"/>
        <w:rPr>
          <w:lang w:val="lt-LT"/>
        </w:rPr>
      </w:pPr>
      <w:r w:rsidRPr="009424FF">
        <w:rPr>
          <w:lang w:val="lt-LT"/>
        </w:rPr>
        <w:t>Vartotojų, gaunančių naudą dėl padidėjusio šiluminės energijos tiekimo patikimumo, tipai, skirstant pagal sektorius, tokius kaip namų ūkiai, paslaugų sektorius ir kitos veiklos bei pramonė</w:t>
      </w:r>
      <w:r w:rsidR="00520A62">
        <w:rPr>
          <w:lang w:val="lt-LT"/>
        </w:rPr>
        <w:t>;</w:t>
      </w:r>
    </w:p>
    <w:p w:rsidR="009424FF" w:rsidRPr="009424FF" w:rsidRDefault="009424FF" w:rsidP="00FB7F3B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Metin</w:t>
      </w:r>
      <w:r w:rsidR="00693C19">
        <w:rPr>
          <w:lang w:val="lt-LT"/>
        </w:rPr>
        <w:t>is</w:t>
      </w:r>
      <w:r>
        <w:rPr>
          <w:lang w:val="lt-LT"/>
        </w:rPr>
        <w:t xml:space="preserve"> </w:t>
      </w:r>
      <w:r w:rsidR="00A206D4">
        <w:rPr>
          <w:lang w:val="lt-LT"/>
        </w:rPr>
        <w:t xml:space="preserve">patiektos </w:t>
      </w:r>
      <w:r>
        <w:rPr>
          <w:lang w:val="lt-LT"/>
        </w:rPr>
        <w:t>papildomos šilumos energijos</w:t>
      </w:r>
      <w:r w:rsidR="00693C19">
        <w:rPr>
          <w:lang w:val="lt-LT"/>
        </w:rPr>
        <w:t xml:space="preserve"> pas</w:t>
      </w:r>
      <w:r w:rsidR="00A206D4">
        <w:rPr>
          <w:lang w:val="lt-LT"/>
        </w:rPr>
        <w:t>iskirstymas tarp identifikuotų tipų.</w:t>
      </w:r>
    </w:p>
    <w:p w:rsidR="00B32A60" w:rsidRDefault="0040338B" w:rsidP="00EA455C">
      <w:pPr>
        <w:jc w:val="both"/>
        <w:rPr>
          <w:lang w:val="lt-LT"/>
        </w:rPr>
      </w:pPr>
      <w:r>
        <w:rPr>
          <w:lang w:val="lt-LT"/>
        </w:rPr>
        <w:t xml:space="preserve">Metinė </w:t>
      </w:r>
      <w:r w:rsidR="009E7D1A">
        <w:rPr>
          <w:lang w:val="lt-LT"/>
        </w:rPr>
        <w:t xml:space="preserve">kiekvienam iš identifikuotų sektorių tenkanti nauda </w:t>
      </w:r>
      <w:r>
        <w:rPr>
          <w:lang w:val="lt-LT"/>
        </w:rPr>
        <w:t>apskaičiuojama</w:t>
      </w:r>
      <w:r w:rsidR="009E7D1A">
        <w:rPr>
          <w:lang w:val="lt-LT"/>
        </w:rPr>
        <w:t>,</w:t>
      </w:r>
      <w:r>
        <w:rPr>
          <w:lang w:val="lt-LT"/>
        </w:rPr>
        <w:t xml:space="preserve"> kiekviename iš </w:t>
      </w:r>
      <w:r w:rsidR="009E7D1A">
        <w:rPr>
          <w:lang w:val="lt-LT"/>
        </w:rPr>
        <w:t xml:space="preserve">jų </w:t>
      </w:r>
      <w:r>
        <w:rPr>
          <w:lang w:val="lt-LT"/>
        </w:rPr>
        <w:t xml:space="preserve">patiektą papildomą šiluminės energijos kiekį </w:t>
      </w:r>
      <w:r w:rsidR="009E7D1A">
        <w:rPr>
          <w:lang w:val="lt-LT"/>
        </w:rPr>
        <w:t xml:space="preserve">padauginant </w:t>
      </w:r>
      <w:r>
        <w:rPr>
          <w:lang w:val="lt-LT"/>
        </w:rPr>
        <w:t xml:space="preserve">iš atitinkamo </w:t>
      </w:r>
      <w:r w:rsidR="009E7D1A">
        <w:rPr>
          <w:lang w:val="lt-LT"/>
        </w:rPr>
        <w:t>sektoriaus įverčio.</w:t>
      </w:r>
      <w:r w:rsidR="00B32A60">
        <w:rPr>
          <w:lang w:val="lt-LT"/>
        </w:rPr>
        <w:t xml:space="preserve"> Sudedant kiekviename identifikuotų sektorių gautas vertes apskaičiuojama bendra komponentu vertinama projekto nauda.</w:t>
      </w:r>
    </w:p>
    <w:p w:rsidR="00846ACA" w:rsidRPr="00846ACA" w:rsidRDefault="00846ACA" w:rsidP="00BF5E0E">
      <w:pPr>
        <w:jc w:val="both"/>
        <w:rPr>
          <w:lang w:val="lt-LT"/>
        </w:rPr>
      </w:pPr>
      <w:r w:rsidRPr="00846ACA">
        <w:rPr>
          <w:lang w:val="lt-LT"/>
        </w:rPr>
        <w:lastRenderedPageBreak/>
        <w:t xml:space="preserve">Reikia pažymėti, kad </w:t>
      </w:r>
      <w:r>
        <w:rPr>
          <w:lang w:val="lt-LT"/>
        </w:rPr>
        <w:t>šiluminės</w:t>
      </w:r>
      <w:r w:rsidRPr="00846ACA">
        <w:rPr>
          <w:lang w:val="lt-LT"/>
        </w:rPr>
        <w:t xml:space="preserve"> energijos tiekimo patikimumo padidėjimo įverčiai turėtų būti </w:t>
      </w:r>
      <w:r w:rsidR="002B5776">
        <w:rPr>
          <w:lang w:val="lt-LT"/>
        </w:rPr>
        <w:t xml:space="preserve">naudojami apskaičiuoti tik dėl </w:t>
      </w:r>
      <w:r w:rsidRPr="00882C44">
        <w:rPr>
          <w:b/>
          <w:lang w:val="lt-LT"/>
        </w:rPr>
        <w:t>šiluminės energijos tiekimo sutrikimų sumažėjimo</w:t>
      </w:r>
      <w:r>
        <w:rPr>
          <w:lang w:val="lt-LT"/>
        </w:rPr>
        <w:t xml:space="preserve"> patiekto papildomo šiluminės</w:t>
      </w:r>
      <w:r w:rsidRPr="00846ACA">
        <w:rPr>
          <w:lang w:val="lt-LT"/>
        </w:rPr>
        <w:t xml:space="preserve"> energijos kiekio vertę, o ne viso galutiniams vartotojams parduotos </w:t>
      </w:r>
      <w:r>
        <w:rPr>
          <w:lang w:val="lt-LT"/>
        </w:rPr>
        <w:t>šiluminės</w:t>
      </w:r>
      <w:r w:rsidRPr="00846ACA">
        <w:rPr>
          <w:lang w:val="lt-LT"/>
        </w:rPr>
        <w:t xml:space="preserve"> </w:t>
      </w:r>
      <w:r w:rsidR="00456729">
        <w:rPr>
          <w:lang w:val="lt-LT"/>
        </w:rPr>
        <w:t xml:space="preserve">energijos </w:t>
      </w:r>
      <w:r w:rsidRPr="00846ACA">
        <w:rPr>
          <w:lang w:val="lt-LT"/>
        </w:rPr>
        <w:t>kiekio vertę.</w:t>
      </w:r>
    </w:p>
    <w:p w:rsidR="00846ACA" w:rsidRDefault="00846ACA" w:rsidP="00BF5E0E">
      <w:pPr>
        <w:jc w:val="both"/>
        <w:rPr>
          <w:lang w:val="lt-LT"/>
        </w:rPr>
      </w:pPr>
      <w:r w:rsidRPr="00846ACA">
        <w:rPr>
          <w:lang w:val="lt-LT"/>
        </w:rPr>
        <w:t>Žemiau pateiktas supaprastintas naudos komponento įverčio taikymo pavyzdys.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46ACA" w:rsidTr="002B5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882C44" w:rsidRDefault="00254D09" w:rsidP="00BF5E0E">
            <w:pPr>
              <w:jc w:val="both"/>
              <w:rPr>
                <w:b w:val="0"/>
                <w:lang w:val="lt-LT"/>
              </w:rPr>
            </w:pPr>
            <w:r>
              <w:rPr>
                <w:b w:val="0"/>
                <w:lang w:val="lt-LT"/>
              </w:rPr>
              <w:t>Pavyzdys: S</w:t>
            </w:r>
            <w:r w:rsidR="00846ACA" w:rsidRPr="002B5776">
              <w:rPr>
                <w:b w:val="0"/>
                <w:lang w:val="lt-LT"/>
              </w:rPr>
              <w:t xml:space="preserve">iekiant apskaičiuoti nepatiektos </w:t>
            </w:r>
            <w:r w:rsidR="00882C44">
              <w:rPr>
                <w:b w:val="0"/>
                <w:lang w:val="lt-LT"/>
              </w:rPr>
              <w:t>šiluminės</w:t>
            </w:r>
            <w:r w:rsidR="00846ACA" w:rsidRPr="002B5776">
              <w:rPr>
                <w:b w:val="0"/>
                <w:lang w:val="lt-LT"/>
              </w:rPr>
              <w:t xml:space="preserve"> energijos išvengtas sąnaudas analizuojamas projektas, kuriuo numatoma</w:t>
            </w:r>
            <w:r w:rsidR="00882C44">
              <w:rPr>
                <w:b w:val="0"/>
                <w:lang w:val="lt-LT"/>
              </w:rPr>
              <w:t xml:space="preserve"> </w:t>
            </w:r>
            <w:r>
              <w:rPr>
                <w:b w:val="0"/>
                <w:lang w:val="lt-LT"/>
              </w:rPr>
              <w:t>modernizuoti</w:t>
            </w:r>
            <w:r w:rsidR="00882C44">
              <w:rPr>
                <w:b w:val="0"/>
                <w:lang w:val="lt-LT"/>
              </w:rPr>
              <w:t xml:space="preserve"> 5 km </w:t>
            </w:r>
            <w:r>
              <w:rPr>
                <w:b w:val="0"/>
                <w:lang w:val="lt-LT"/>
              </w:rPr>
              <w:t xml:space="preserve">ilgio </w:t>
            </w:r>
            <w:r w:rsidR="00882C44">
              <w:rPr>
                <w:b w:val="0"/>
                <w:lang w:val="lt-LT"/>
              </w:rPr>
              <w:t>šilum</w:t>
            </w:r>
            <w:r w:rsidR="00456729">
              <w:rPr>
                <w:b w:val="0"/>
                <w:lang w:val="lt-LT"/>
              </w:rPr>
              <w:t>os trasų tinklas</w:t>
            </w:r>
            <w:r w:rsidR="0033111C">
              <w:rPr>
                <w:b w:val="0"/>
                <w:lang w:val="lt-LT"/>
              </w:rPr>
              <w:t xml:space="preserve"> tam, jog būtų išvengta </w:t>
            </w:r>
            <w:r w:rsidR="002C366E">
              <w:rPr>
                <w:b w:val="0"/>
                <w:lang w:val="lt-LT"/>
              </w:rPr>
              <w:t>(</w:t>
            </w:r>
            <w:r w:rsidR="0033111C">
              <w:rPr>
                <w:b w:val="0"/>
                <w:lang w:val="lt-LT"/>
              </w:rPr>
              <w:t>potencialių</w:t>
            </w:r>
            <w:r w:rsidR="002C366E">
              <w:rPr>
                <w:b w:val="0"/>
                <w:lang w:val="lt-LT"/>
              </w:rPr>
              <w:t>)</w:t>
            </w:r>
            <w:r w:rsidR="00846ACA" w:rsidRPr="002B5776">
              <w:rPr>
                <w:b w:val="0"/>
                <w:lang w:val="lt-LT"/>
              </w:rPr>
              <w:t xml:space="preserve"> </w:t>
            </w:r>
            <w:r w:rsidR="00882C44">
              <w:rPr>
                <w:b w:val="0"/>
                <w:lang w:val="lt-LT"/>
              </w:rPr>
              <w:t>šiluminės</w:t>
            </w:r>
            <w:r w:rsidR="00846ACA" w:rsidRPr="002B5776">
              <w:rPr>
                <w:b w:val="0"/>
                <w:lang w:val="lt-LT"/>
              </w:rPr>
              <w:t xml:space="preserve"> energijos tiekimo sutrikimų. </w:t>
            </w:r>
            <w:r w:rsidR="00417538">
              <w:rPr>
                <w:b w:val="0"/>
                <w:lang w:val="lt-LT"/>
              </w:rPr>
              <w:t>Į</w:t>
            </w:r>
            <w:r w:rsidR="00CE7A89">
              <w:rPr>
                <w:b w:val="0"/>
                <w:lang w:val="lt-LT"/>
              </w:rPr>
              <w:t>vertinta</w:t>
            </w:r>
            <w:r w:rsidR="00846ACA" w:rsidRPr="002B5776">
              <w:rPr>
                <w:b w:val="0"/>
                <w:lang w:val="lt-LT"/>
              </w:rPr>
              <w:t xml:space="preserve">, jog projekto paveiktoje teritorijoje </w:t>
            </w:r>
            <w:r w:rsidR="00882C44">
              <w:rPr>
                <w:b w:val="0"/>
                <w:lang w:val="lt-LT"/>
              </w:rPr>
              <w:t>šiluminės</w:t>
            </w:r>
            <w:r w:rsidR="00846ACA" w:rsidRPr="002B5776">
              <w:rPr>
                <w:b w:val="0"/>
                <w:lang w:val="lt-LT"/>
              </w:rPr>
              <w:t xml:space="preserve"> energijos tiekimo patikimum</w:t>
            </w:r>
            <w:r w:rsidR="00D47A1B">
              <w:rPr>
                <w:b w:val="0"/>
                <w:lang w:val="lt-LT"/>
              </w:rPr>
              <w:t>o padidėjimas sąlygotų</w:t>
            </w:r>
            <w:r w:rsidR="00846ACA" w:rsidRPr="002B5776">
              <w:rPr>
                <w:b w:val="0"/>
                <w:lang w:val="lt-LT"/>
              </w:rPr>
              <w:t xml:space="preserve"> </w:t>
            </w:r>
            <w:r w:rsidR="00D47A1B">
              <w:rPr>
                <w:b w:val="0"/>
                <w:lang w:val="lt-LT"/>
              </w:rPr>
              <w:t xml:space="preserve">kasmet klientams papildomai patiekiamus </w:t>
            </w:r>
            <w:bookmarkStart w:id="2" w:name="_GoBack"/>
            <w:bookmarkEnd w:id="2"/>
            <w:r w:rsidR="00882C44">
              <w:rPr>
                <w:b w:val="0"/>
                <w:lang w:val="lt-LT"/>
              </w:rPr>
              <w:t>50</w:t>
            </w:r>
            <w:r w:rsidR="00613A32">
              <w:rPr>
                <w:b w:val="0"/>
                <w:lang w:val="lt-LT"/>
              </w:rPr>
              <w:t>0</w:t>
            </w:r>
            <w:r w:rsidR="00846ACA" w:rsidRPr="002B5776">
              <w:rPr>
                <w:b w:val="0"/>
                <w:lang w:val="lt-LT"/>
              </w:rPr>
              <w:t xml:space="preserve"> </w:t>
            </w:r>
            <w:r w:rsidR="00613A32">
              <w:rPr>
                <w:b w:val="0"/>
                <w:lang w:val="lt-LT"/>
              </w:rPr>
              <w:t>m</w:t>
            </w:r>
            <w:r w:rsidR="00417538">
              <w:rPr>
                <w:b w:val="0"/>
                <w:lang w:val="lt-LT"/>
              </w:rPr>
              <w:t>W</w:t>
            </w:r>
            <w:r w:rsidR="00846ACA" w:rsidRPr="002B5776">
              <w:rPr>
                <w:b w:val="0"/>
                <w:lang w:val="lt-LT"/>
              </w:rPr>
              <w:t xml:space="preserve">h </w:t>
            </w:r>
            <w:r w:rsidR="00882C44">
              <w:rPr>
                <w:b w:val="0"/>
                <w:lang w:val="lt-LT"/>
              </w:rPr>
              <w:t>šiluminės</w:t>
            </w:r>
            <w:r w:rsidR="00846ACA" w:rsidRPr="002B5776">
              <w:rPr>
                <w:b w:val="0"/>
                <w:lang w:val="lt-LT"/>
              </w:rPr>
              <w:t xml:space="preserve"> energijos. </w:t>
            </w:r>
            <w:r w:rsidR="00D63EEC">
              <w:rPr>
                <w:b w:val="0"/>
                <w:lang w:val="lt-LT"/>
              </w:rPr>
              <w:t>Atsižvelgiant į vietovės esančių subjektų struktūrą, papildoma šiluminė energija bu</w:t>
            </w:r>
            <w:r w:rsidR="00417538">
              <w:rPr>
                <w:b w:val="0"/>
                <w:lang w:val="lt-LT"/>
              </w:rPr>
              <w:t>tų</w:t>
            </w:r>
            <w:r w:rsidR="00D63EEC">
              <w:rPr>
                <w:b w:val="0"/>
                <w:lang w:val="lt-LT"/>
              </w:rPr>
              <w:t xml:space="preserve"> </w:t>
            </w:r>
            <w:r w:rsidR="00417538">
              <w:rPr>
                <w:b w:val="0"/>
                <w:lang w:val="lt-LT"/>
              </w:rPr>
              <w:t>suvartota</w:t>
            </w:r>
            <w:r w:rsidR="00D63EEC">
              <w:rPr>
                <w:b w:val="0"/>
                <w:lang w:val="lt-LT"/>
              </w:rPr>
              <w:t xml:space="preserve"> tokiomis dalimis</w:t>
            </w:r>
            <w:r w:rsidR="00553F0F">
              <w:rPr>
                <w:b w:val="0"/>
                <w:lang w:val="lt-LT"/>
              </w:rPr>
              <w:t>:</w:t>
            </w:r>
          </w:p>
          <w:p w:rsidR="00882C44" w:rsidRPr="00A43CE0" w:rsidRDefault="00882C44" w:rsidP="00613A3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lang w:val="lt-LT"/>
              </w:rPr>
            </w:pPr>
            <w:r w:rsidRPr="00A43CE0">
              <w:rPr>
                <w:b w:val="0"/>
                <w:lang w:val="lt-LT"/>
              </w:rPr>
              <w:t>8</w:t>
            </w:r>
            <w:r w:rsidR="00417538" w:rsidRPr="00A43CE0">
              <w:rPr>
                <w:b w:val="0"/>
                <w:lang w:val="lt-LT"/>
              </w:rPr>
              <w:t>0 proc. namų ūkiai</w:t>
            </w:r>
            <w:r w:rsidR="00F8747A" w:rsidRPr="00A43CE0">
              <w:rPr>
                <w:b w:val="0"/>
                <w:lang w:val="lt-LT"/>
              </w:rPr>
              <w:t xml:space="preserve">; </w:t>
            </w:r>
          </w:p>
          <w:p w:rsidR="00882C44" w:rsidRPr="00A43CE0" w:rsidRDefault="00882C44" w:rsidP="00613A3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lang w:val="lt-LT"/>
              </w:rPr>
            </w:pPr>
            <w:r w:rsidRPr="00A43CE0">
              <w:rPr>
                <w:b w:val="0"/>
                <w:lang w:val="lt-LT"/>
              </w:rPr>
              <w:t>10</w:t>
            </w:r>
            <w:r w:rsidR="00417538" w:rsidRPr="00A43CE0">
              <w:rPr>
                <w:b w:val="0"/>
                <w:lang w:val="lt-LT"/>
              </w:rPr>
              <w:t xml:space="preserve"> proc. pramonės sektori</w:t>
            </w:r>
            <w:r w:rsidR="00F8747A" w:rsidRPr="00A43CE0">
              <w:rPr>
                <w:b w:val="0"/>
                <w:lang w:val="lt-LT"/>
              </w:rPr>
              <w:t xml:space="preserve">us; </w:t>
            </w:r>
          </w:p>
          <w:p w:rsidR="00882C44" w:rsidRPr="00A43CE0" w:rsidRDefault="00882C44" w:rsidP="00613A32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lang w:val="lt-LT"/>
              </w:rPr>
            </w:pPr>
            <w:r w:rsidRPr="00A43CE0">
              <w:rPr>
                <w:b w:val="0"/>
                <w:lang w:val="lt-LT"/>
              </w:rPr>
              <w:t>10</w:t>
            </w:r>
            <w:r w:rsidR="00F8747A" w:rsidRPr="00A43CE0">
              <w:rPr>
                <w:b w:val="0"/>
                <w:lang w:val="lt-LT"/>
              </w:rPr>
              <w:t xml:space="preserve"> proc. </w:t>
            </w:r>
            <w:r w:rsidR="00417538" w:rsidRPr="00A43CE0">
              <w:rPr>
                <w:b w:val="0"/>
                <w:lang w:val="lt-LT"/>
              </w:rPr>
              <w:t>p</w:t>
            </w:r>
            <w:r w:rsidRPr="00A43CE0">
              <w:rPr>
                <w:b w:val="0"/>
                <w:lang w:val="lt-LT"/>
              </w:rPr>
              <w:t>aslaugų sektorius ir kitos veiklos</w:t>
            </w:r>
            <w:r w:rsidR="00613A32" w:rsidRPr="00A43CE0">
              <w:rPr>
                <w:b w:val="0"/>
                <w:lang w:val="lt-LT"/>
              </w:rPr>
              <w:t>.</w:t>
            </w:r>
          </w:p>
          <w:p w:rsidR="00882C44" w:rsidRDefault="00882C44" w:rsidP="00BF5E0E">
            <w:pPr>
              <w:jc w:val="both"/>
              <w:rPr>
                <w:b w:val="0"/>
                <w:lang w:val="lt-LT"/>
              </w:rPr>
            </w:pPr>
          </w:p>
          <w:p w:rsidR="00882C44" w:rsidRDefault="00846ACA" w:rsidP="00BF5E0E">
            <w:pPr>
              <w:jc w:val="both"/>
              <w:rPr>
                <w:b w:val="0"/>
                <w:lang w:val="lt-LT"/>
              </w:rPr>
            </w:pPr>
            <w:r w:rsidRPr="002B5776">
              <w:rPr>
                <w:b w:val="0"/>
                <w:lang w:val="lt-LT"/>
              </w:rPr>
              <w:t xml:space="preserve">Metinė nauda gali būti įvertinta, pirmiausiai, apskaičiuojant patiektos </w:t>
            </w:r>
            <w:r w:rsidR="00882C44">
              <w:rPr>
                <w:b w:val="0"/>
                <w:lang w:val="lt-LT"/>
              </w:rPr>
              <w:t>šiluminės</w:t>
            </w:r>
            <w:r w:rsidRPr="002B5776">
              <w:rPr>
                <w:b w:val="0"/>
                <w:lang w:val="lt-LT"/>
              </w:rPr>
              <w:t xml:space="preserve"> energijos kiekio padidėjimą (išreikštą kWh) kiekvienam vartotojų tipui ir tuomet padauginant </w:t>
            </w:r>
            <w:r w:rsidR="00D23F9F">
              <w:rPr>
                <w:b w:val="0"/>
                <w:lang w:val="lt-LT"/>
              </w:rPr>
              <w:t xml:space="preserve">šilumos </w:t>
            </w:r>
            <w:r w:rsidRPr="002B5776">
              <w:rPr>
                <w:b w:val="0"/>
                <w:lang w:val="lt-LT"/>
              </w:rPr>
              <w:t xml:space="preserve">energijos kiekius iš </w:t>
            </w:r>
            <w:r w:rsidR="00D23F9F">
              <w:rPr>
                <w:b w:val="0"/>
                <w:lang w:val="lt-LT"/>
              </w:rPr>
              <w:t>komponento įverčių</w:t>
            </w:r>
            <w:r w:rsidRPr="002B5776">
              <w:rPr>
                <w:b w:val="0"/>
                <w:lang w:val="lt-LT"/>
              </w:rPr>
              <w:t xml:space="preserve">, pateiktų </w:t>
            </w:r>
            <w:r w:rsidR="00882C44">
              <w:rPr>
                <w:lang w:val="lt-LT"/>
              </w:rPr>
              <w:fldChar w:fldCharType="begin"/>
            </w:r>
            <w:r w:rsidR="00882C44">
              <w:rPr>
                <w:b w:val="0"/>
                <w:lang w:val="lt-LT"/>
              </w:rPr>
              <w:instrText xml:space="preserve"> REF _Ref447869749 \h  \* MERGEFORMAT </w:instrText>
            </w:r>
            <w:r w:rsidR="00882C44">
              <w:rPr>
                <w:lang w:val="lt-LT"/>
              </w:rPr>
            </w:r>
            <w:r w:rsidR="00882C44">
              <w:rPr>
                <w:lang w:val="lt-LT"/>
              </w:rPr>
              <w:fldChar w:fldCharType="separate"/>
            </w:r>
            <w:r w:rsidR="00882C44" w:rsidRPr="00882C44">
              <w:rPr>
                <w:b w:val="0"/>
              </w:rPr>
              <w:t>2 Lentelėje</w:t>
            </w:r>
            <w:r w:rsidR="00882C44">
              <w:rPr>
                <w:lang w:val="lt-LT"/>
              </w:rPr>
              <w:fldChar w:fldCharType="end"/>
            </w:r>
            <w:r w:rsidRPr="002B5776">
              <w:rPr>
                <w:b w:val="0"/>
                <w:lang w:val="lt-LT"/>
              </w:rPr>
              <w:t xml:space="preserve">. </w:t>
            </w:r>
          </w:p>
          <w:p w:rsidR="00846ACA" w:rsidRDefault="00846ACA" w:rsidP="00BF5E0E">
            <w:pPr>
              <w:jc w:val="both"/>
              <w:rPr>
                <w:b w:val="0"/>
                <w:lang w:val="lt-LT"/>
              </w:rPr>
            </w:pPr>
            <w:r w:rsidRPr="002B5776">
              <w:rPr>
                <w:b w:val="0"/>
                <w:lang w:val="lt-LT"/>
              </w:rPr>
              <w:t xml:space="preserve">Visa metinė nediskontuota </w:t>
            </w:r>
            <w:r w:rsidR="007C5896">
              <w:rPr>
                <w:b w:val="0"/>
                <w:lang w:val="lt-LT"/>
              </w:rPr>
              <w:t>šiluminės</w:t>
            </w:r>
            <w:r w:rsidRPr="002B5776">
              <w:rPr>
                <w:b w:val="0"/>
                <w:lang w:val="lt-LT"/>
              </w:rPr>
              <w:t xml:space="preserve"> energijos patikimumo padidėjimo nauda šiame</w:t>
            </w:r>
            <w:r w:rsidR="007C5896">
              <w:rPr>
                <w:b w:val="0"/>
                <w:lang w:val="lt-LT"/>
              </w:rPr>
              <w:t xml:space="preserve"> pavyzdyje lygi 92</w:t>
            </w:r>
            <w:r w:rsidR="005D685B">
              <w:rPr>
                <w:b w:val="0"/>
                <w:lang w:val="lt-LT"/>
              </w:rPr>
              <w:t>0</w:t>
            </w:r>
            <w:r w:rsidR="007C5896">
              <w:rPr>
                <w:b w:val="0"/>
                <w:lang w:val="lt-LT"/>
              </w:rPr>
              <w:t xml:space="preserve"> tūkst.</w:t>
            </w:r>
            <w:r w:rsidR="00882C44">
              <w:rPr>
                <w:b w:val="0"/>
                <w:lang w:val="lt-LT"/>
              </w:rPr>
              <w:t xml:space="preserve"> eur (2016</w:t>
            </w:r>
            <w:r w:rsidRPr="002B5776">
              <w:rPr>
                <w:b w:val="0"/>
                <w:lang w:val="lt-LT"/>
              </w:rPr>
              <w:t xml:space="preserve"> m. kainomis).</w:t>
            </w:r>
          </w:p>
          <w:p w:rsidR="00882C44" w:rsidRDefault="00882C44" w:rsidP="00BF5E0E">
            <w:pPr>
              <w:jc w:val="both"/>
              <w:rPr>
                <w:b w:val="0"/>
                <w:lang w:val="lt-LT"/>
              </w:rPr>
            </w:pPr>
          </w:p>
          <w:tbl>
            <w:tblPr>
              <w:tblStyle w:val="TableGridLight"/>
              <w:tblW w:w="9736" w:type="dxa"/>
              <w:tblLook w:val="04A0" w:firstRow="1" w:lastRow="0" w:firstColumn="1" w:lastColumn="0" w:noHBand="0" w:noVBand="1"/>
            </w:tblPr>
            <w:tblGrid>
              <w:gridCol w:w="1577"/>
              <w:gridCol w:w="1765"/>
              <w:gridCol w:w="1809"/>
              <w:gridCol w:w="2304"/>
              <w:gridCol w:w="2281"/>
            </w:tblGrid>
            <w:tr w:rsidR="005D685B" w:rsidTr="009D32C8">
              <w:trPr>
                <w:trHeight w:val="930"/>
              </w:trPr>
              <w:tc>
                <w:tcPr>
                  <w:tcW w:w="1725" w:type="dxa"/>
                  <w:noWrap/>
                  <w:hideMark/>
                </w:tcPr>
                <w:p w:rsidR="00882C44" w:rsidRPr="009D32C8" w:rsidRDefault="00882C44" w:rsidP="005D685B">
                  <w:pPr>
                    <w:jc w:val="center"/>
                    <w:rPr>
                      <w:color w:val="FFFFFF" w:themeColor="background1"/>
                    </w:rPr>
                  </w:pPr>
                  <w:r w:rsidRPr="009D32C8">
                    <w:rPr>
                      <w:color w:val="FFFFFF" w:themeColor="background1"/>
                    </w:rPr>
                    <w:t>Šilumos tiekimo patikimumo padidėjimas (eur/kWh)</w:t>
                  </w:r>
                </w:p>
              </w:tc>
              <w:tc>
                <w:tcPr>
                  <w:tcW w:w="1843" w:type="dxa"/>
                  <w:hideMark/>
                </w:tcPr>
                <w:p w:rsidR="00882C44" w:rsidRPr="009D32C8" w:rsidRDefault="00882C44" w:rsidP="005D685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color w:val="FFFFFF" w:themeColor="background1"/>
                    </w:rPr>
                    <w:t>Pramonėje</w:t>
                  </w:r>
                </w:p>
              </w:tc>
              <w:tc>
                <w:tcPr>
                  <w:tcW w:w="1984" w:type="dxa"/>
                  <w:hideMark/>
                </w:tcPr>
                <w:p w:rsidR="00882C44" w:rsidRPr="009D32C8" w:rsidRDefault="00882C44" w:rsidP="005D685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color w:val="FFFFFF" w:themeColor="background1"/>
                    </w:rPr>
                    <w:t>Paslaugų sektoriuje ir kitose veiklose</w:t>
                  </w:r>
                </w:p>
              </w:tc>
              <w:tc>
                <w:tcPr>
                  <w:tcW w:w="2533" w:type="dxa"/>
                  <w:hideMark/>
                </w:tcPr>
                <w:p w:rsidR="00882C44" w:rsidRPr="009D32C8" w:rsidRDefault="00882C44" w:rsidP="005D685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color w:val="FFFFFF" w:themeColor="background1"/>
                    </w:rPr>
                    <w:t>Namų ūkiams</w:t>
                  </w:r>
                </w:p>
              </w:tc>
              <w:tc>
                <w:tcPr>
                  <w:tcW w:w="1651" w:type="dxa"/>
                  <w:hideMark/>
                </w:tcPr>
                <w:p w:rsidR="00882C44" w:rsidRPr="009D32C8" w:rsidRDefault="00882C44" w:rsidP="005D685B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color w:val="FFFFFF" w:themeColor="background1"/>
                    </w:rPr>
                    <w:t>Bendras</w:t>
                  </w:r>
                </w:p>
              </w:tc>
            </w:tr>
            <w:tr w:rsidR="005D685B" w:rsidTr="009D32C8">
              <w:trPr>
                <w:trHeight w:val="300"/>
              </w:trPr>
              <w:tc>
                <w:tcPr>
                  <w:tcW w:w="1725" w:type="dxa"/>
                  <w:noWrap/>
                  <w:hideMark/>
                </w:tcPr>
                <w:p w:rsidR="00882C44" w:rsidRPr="009D32C8" w:rsidRDefault="00882C44" w:rsidP="00882C44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color w:val="FFFFFF" w:themeColor="background1"/>
                    </w:rPr>
                    <w:t>2016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9D32C8" w:rsidRPr="009D32C8" w:rsidRDefault="009D32C8" w:rsidP="00882C44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b/>
                      <w:bCs/>
                      <w:color w:val="FFFFFF" w:themeColor="background1"/>
                    </w:rPr>
                    <w:t>6</w:t>
                  </w:r>
                  <w:r w:rsidR="00613A32">
                    <w:rPr>
                      <w:b/>
                      <w:bCs/>
                      <w:color w:val="FFFFFF" w:themeColor="background1"/>
                    </w:rPr>
                    <w:t xml:space="preserve">7 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50</w:t>
                  </w:r>
                  <w:r w:rsidR="00613A32">
                    <w:rPr>
                      <w:b/>
                      <w:bCs/>
                      <w:color w:val="FFFFFF" w:themeColor="background1"/>
                    </w:rPr>
                    <w:t>0</w:t>
                  </w:r>
                </w:p>
                <w:p w:rsidR="00882C44" w:rsidRPr="009D32C8" w:rsidRDefault="009D32C8" w:rsidP="00613A32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b/>
                      <w:bCs/>
                      <w:color w:val="FFFFFF" w:themeColor="background1"/>
                    </w:rPr>
                    <w:t>=</w:t>
                  </w:r>
                  <w:r w:rsidR="00882C44" w:rsidRPr="009D32C8">
                    <w:rPr>
                      <w:b/>
                      <w:bCs/>
                      <w:color w:val="FFFFFF" w:themeColor="background1"/>
                    </w:rPr>
                    <w:t>1,35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*50</w:t>
                  </w:r>
                  <w:r w:rsidR="00613A32">
                    <w:rPr>
                      <w:b/>
                      <w:bCs/>
                      <w:color w:val="FFFFFF" w:themeColor="background1"/>
                    </w:rPr>
                    <w:t>0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 000*0</w:t>
                  </w:r>
                  <w:r w:rsidR="00613A32">
                    <w:rPr>
                      <w:b/>
                      <w:bCs/>
                      <w:color w:val="FFFFFF" w:themeColor="background1"/>
                    </w:rPr>
                    <w:t>,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1984" w:type="dxa"/>
                  <w:noWrap/>
                  <w:hideMark/>
                </w:tcPr>
                <w:p w:rsidR="009D32C8" w:rsidRPr="009D32C8" w:rsidRDefault="009D32C8" w:rsidP="009D32C8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b/>
                      <w:bCs/>
                      <w:color w:val="FFFFFF" w:themeColor="background1"/>
                    </w:rPr>
                    <w:t>24</w:t>
                  </w:r>
                  <w:r w:rsidR="005E2B26">
                    <w:rPr>
                      <w:b/>
                      <w:bCs/>
                      <w:color w:val="FFFFFF" w:themeColor="background1"/>
                    </w:rPr>
                    <w:t xml:space="preserve">8 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50</w:t>
                  </w:r>
                  <w:r w:rsidR="005E2B26">
                    <w:rPr>
                      <w:b/>
                      <w:bCs/>
                      <w:color w:val="FFFFFF" w:themeColor="background1"/>
                    </w:rPr>
                    <w:t>0</w:t>
                  </w:r>
                </w:p>
                <w:p w:rsidR="00882C44" w:rsidRPr="009D32C8" w:rsidRDefault="009D32C8" w:rsidP="005E2B26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b/>
                      <w:bCs/>
                      <w:color w:val="FFFFFF" w:themeColor="background1"/>
                    </w:rPr>
                    <w:t>=4,97*50</w:t>
                  </w:r>
                  <w:r w:rsidR="005E2B26">
                    <w:rPr>
                      <w:b/>
                      <w:bCs/>
                      <w:color w:val="FFFFFF" w:themeColor="background1"/>
                    </w:rPr>
                    <w:t>0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 xml:space="preserve"> 000*0</w:t>
                  </w:r>
                  <w:r w:rsidR="005E2B26">
                    <w:rPr>
                      <w:b/>
                      <w:bCs/>
                      <w:color w:val="FFFFFF" w:themeColor="background1"/>
                    </w:rPr>
                    <w:t>,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2533" w:type="dxa"/>
                  <w:noWrap/>
                  <w:hideMark/>
                </w:tcPr>
                <w:p w:rsidR="009D32C8" w:rsidRPr="009D32C8" w:rsidRDefault="009D32C8" w:rsidP="009D32C8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b/>
                      <w:bCs/>
                      <w:color w:val="FFFFFF" w:themeColor="background1"/>
                    </w:rPr>
                    <w:t>60</w:t>
                  </w:r>
                  <w:r w:rsidR="005D685B">
                    <w:rPr>
                      <w:b/>
                      <w:bCs/>
                      <w:color w:val="FFFFFF" w:themeColor="background1"/>
                    </w:rPr>
                    <w:t>4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 w:rsidR="005D685B">
                    <w:rPr>
                      <w:b/>
                      <w:bCs/>
                      <w:color w:val="FFFFFF" w:themeColor="background1"/>
                    </w:rPr>
                    <w:t>0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00</w:t>
                  </w:r>
                </w:p>
                <w:p w:rsidR="00882C44" w:rsidRPr="009D32C8" w:rsidRDefault="009D32C8" w:rsidP="009D32C8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b/>
                      <w:bCs/>
                      <w:color w:val="FFFFFF" w:themeColor="background1"/>
                    </w:rPr>
                    <w:t>=1,51*50</w:t>
                  </w:r>
                  <w:r w:rsidR="002B3F4A">
                    <w:rPr>
                      <w:b/>
                      <w:bCs/>
                      <w:color w:val="FFFFFF" w:themeColor="background1"/>
                    </w:rPr>
                    <w:t>0 000*0,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1651" w:type="dxa"/>
                  <w:noWrap/>
                  <w:hideMark/>
                </w:tcPr>
                <w:p w:rsidR="009D32C8" w:rsidRPr="009D32C8" w:rsidRDefault="009D32C8" w:rsidP="00882C44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 w:rsidRPr="009D32C8">
                    <w:rPr>
                      <w:b/>
                      <w:bCs/>
                      <w:color w:val="FFFFFF" w:themeColor="background1"/>
                    </w:rPr>
                    <w:t>92</w:t>
                  </w:r>
                  <w:r w:rsidR="00487144">
                    <w:rPr>
                      <w:b/>
                      <w:bCs/>
                      <w:color w:val="FFFFFF" w:themeColor="background1"/>
                    </w:rPr>
                    <w:t>0</w:t>
                  </w:r>
                  <w:r w:rsidRPr="009D32C8">
                    <w:rPr>
                      <w:b/>
                      <w:bCs/>
                      <w:color w:val="FFFFFF" w:themeColor="background1"/>
                    </w:rPr>
                    <w:t> 000=</w:t>
                  </w:r>
                </w:p>
                <w:p w:rsidR="00882C44" w:rsidRPr="009D32C8" w:rsidRDefault="00487144" w:rsidP="00882C44">
                  <w:pPr>
                    <w:jc w:val="both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67.500+</w:t>
                  </w:r>
                  <w:r w:rsidR="005D685B">
                    <w:rPr>
                      <w:b/>
                      <w:bCs/>
                      <w:color w:val="FFFFFF" w:themeColor="background1"/>
                    </w:rPr>
                    <w:t>248.500+604.000</w:t>
                  </w:r>
                </w:p>
              </w:tc>
            </w:tr>
          </w:tbl>
          <w:p w:rsidR="00846ACA" w:rsidRDefault="00846ACA" w:rsidP="00BF5E0E">
            <w:pPr>
              <w:jc w:val="both"/>
              <w:rPr>
                <w:lang w:val="lt-LT"/>
              </w:rPr>
            </w:pPr>
          </w:p>
        </w:tc>
      </w:tr>
    </w:tbl>
    <w:p w:rsidR="00846ACA" w:rsidRDefault="00846ACA" w:rsidP="00BF5E0E">
      <w:pPr>
        <w:jc w:val="both"/>
        <w:rPr>
          <w:lang w:val="lt-LT"/>
        </w:rPr>
      </w:pPr>
    </w:p>
    <w:p w:rsidR="00846ACA" w:rsidRPr="00846ACA" w:rsidRDefault="00846ACA" w:rsidP="00846ACA">
      <w:pPr>
        <w:rPr>
          <w:lang w:val="lt-LT"/>
        </w:rPr>
      </w:pPr>
    </w:p>
    <w:sectPr w:rsidR="00846ACA" w:rsidRPr="00846AC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93" w:rsidRDefault="00D72693" w:rsidP="00476D29">
      <w:pPr>
        <w:spacing w:after="0" w:line="240" w:lineRule="auto"/>
      </w:pPr>
      <w:r>
        <w:separator/>
      </w:r>
    </w:p>
  </w:endnote>
  <w:endnote w:type="continuationSeparator" w:id="0">
    <w:p w:rsidR="00D72693" w:rsidRDefault="00D72693" w:rsidP="0047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93" w:rsidRDefault="00D72693" w:rsidP="00476D29">
      <w:pPr>
        <w:spacing w:after="0" w:line="240" w:lineRule="auto"/>
      </w:pPr>
      <w:r>
        <w:separator/>
      </w:r>
    </w:p>
  </w:footnote>
  <w:footnote w:type="continuationSeparator" w:id="0">
    <w:p w:rsidR="00D72693" w:rsidRDefault="00D72693" w:rsidP="0047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CBF"/>
    <w:multiLevelType w:val="hybridMultilevel"/>
    <w:tmpl w:val="E5E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750"/>
    <w:multiLevelType w:val="hybridMultilevel"/>
    <w:tmpl w:val="8EA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FB"/>
    <w:rsid w:val="00065BDC"/>
    <w:rsid w:val="0006634B"/>
    <w:rsid w:val="00120294"/>
    <w:rsid w:val="00214DC8"/>
    <w:rsid w:val="00216304"/>
    <w:rsid w:val="00235935"/>
    <w:rsid w:val="002543F9"/>
    <w:rsid w:val="00254D09"/>
    <w:rsid w:val="002720FB"/>
    <w:rsid w:val="00295202"/>
    <w:rsid w:val="002B3F4A"/>
    <w:rsid w:val="002B5776"/>
    <w:rsid w:val="002C1E57"/>
    <w:rsid w:val="002C366E"/>
    <w:rsid w:val="002F7D9A"/>
    <w:rsid w:val="0030720F"/>
    <w:rsid w:val="00314B3D"/>
    <w:rsid w:val="0033111C"/>
    <w:rsid w:val="00387365"/>
    <w:rsid w:val="003902CD"/>
    <w:rsid w:val="003B2189"/>
    <w:rsid w:val="003B2E2E"/>
    <w:rsid w:val="003D1E9E"/>
    <w:rsid w:val="003E3E7C"/>
    <w:rsid w:val="003F33EF"/>
    <w:rsid w:val="0040338B"/>
    <w:rsid w:val="0041481A"/>
    <w:rsid w:val="00417538"/>
    <w:rsid w:val="00433A3D"/>
    <w:rsid w:val="00456729"/>
    <w:rsid w:val="00457A0D"/>
    <w:rsid w:val="00476D29"/>
    <w:rsid w:val="00483BBE"/>
    <w:rsid w:val="00487144"/>
    <w:rsid w:val="004B37E3"/>
    <w:rsid w:val="004C429E"/>
    <w:rsid w:val="004F654A"/>
    <w:rsid w:val="00520A62"/>
    <w:rsid w:val="00553F0F"/>
    <w:rsid w:val="00574CA6"/>
    <w:rsid w:val="005A7BC7"/>
    <w:rsid w:val="005B204E"/>
    <w:rsid w:val="005D6654"/>
    <w:rsid w:val="005D685B"/>
    <w:rsid w:val="005E2B26"/>
    <w:rsid w:val="0061269F"/>
    <w:rsid w:val="00613A32"/>
    <w:rsid w:val="00635AB8"/>
    <w:rsid w:val="00640CDA"/>
    <w:rsid w:val="00691242"/>
    <w:rsid w:val="00693C19"/>
    <w:rsid w:val="006D2B6E"/>
    <w:rsid w:val="006D3FFC"/>
    <w:rsid w:val="006E300E"/>
    <w:rsid w:val="006E7473"/>
    <w:rsid w:val="007153A0"/>
    <w:rsid w:val="007C5896"/>
    <w:rsid w:val="007E08FB"/>
    <w:rsid w:val="00800A86"/>
    <w:rsid w:val="00833387"/>
    <w:rsid w:val="00846ACA"/>
    <w:rsid w:val="0085553A"/>
    <w:rsid w:val="00882C44"/>
    <w:rsid w:val="008C4BA4"/>
    <w:rsid w:val="009076AB"/>
    <w:rsid w:val="00930E09"/>
    <w:rsid w:val="009424FF"/>
    <w:rsid w:val="0096340B"/>
    <w:rsid w:val="009D32C8"/>
    <w:rsid w:val="009E7D1A"/>
    <w:rsid w:val="00A206D4"/>
    <w:rsid w:val="00A253EF"/>
    <w:rsid w:val="00A43CE0"/>
    <w:rsid w:val="00A723DE"/>
    <w:rsid w:val="00AD1C19"/>
    <w:rsid w:val="00AD6A3C"/>
    <w:rsid w:val="00AE4F32"/>
    <w:rsid w:val="00B32A60"/>
    <w:rsid w:val="00B96636"/>
    <w:rsid w:val="00BB4C1C"/>
    <w:rsid w:val="00BD73A3"/>
    <w:rsid w:val="00BE1996"/>
    <w:rsid w:val="00BF5E0E"/>
    <w:rsid w:val="00C50612"/>
    <w:rsid w:val="00C50C6F"/>
    <w:rsid w:val="00C57CB6"/>
    <w:rsid w:val="00CA48EC"/>
    <w:rsid w:val="00CB2EDC"/>
    <w:rsid w:val="00CC056D"/>
    <w:rsid w:val="00CE7A89"/>
    <w:rsid w:val="00D2018E"/>
    <w:rsid w:val="00D23F9F"/>
    <w:rsid w:val="00D47A1B"/>
    <w:rsid w:val="00D63EEC"/>
    <w:rsid w:val="00D72693"/>
    <w:rsid w:val="00D9592B"/>
    <w:rsid w:val="00DC75CC"/>
    <w:rsid w:val="00DD187A"/>
    <w:rsid w:val="00DD2C13"/>
    <w:rsid w:val="00EA1AB6"/>
    <w:rsid w:val="00EA455C"/>
    <w:rsid w:val="00EC748B"/>
    <w:rsid w:val="00ED0E8E"/>
    <w:rsid w:val="00F662E7"/>
    <w:rsid w:val="00F8747A"/>
    <w:rsid w:val="00F900FD"/>
    <w:rsid w:val="00FA3505"/>
    <w:rsid w:val="00FE6832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A7F0-6B0D-48F5-AF05-FA32ED05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5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056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C05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D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ACA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2B57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2B57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2B57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B57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76D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D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D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D2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476D29"/>
    <w:pPr>
      <w:spacing w:after="0"/>
    </w:pPr>
  </w:style>
  <w:style w:type="table" w:styleId="TableGridLight">
    <w:name w:val="Grid Table Light"/>
    <w:basedOn w:val="TableNormal"/>
    <w:uiPriority w:val="40"/>
    <w:rsid w:val="00882C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lietuv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4FFD-9478-4A87-9695-728AFC08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Giedraitė</dc:creator>
  <cp:keywords/>
  <dc:description/>
  <cp:lastModifiedBy>Linas Jasiukevičius</cp:lastModifiedBy>
  <cp:revision>9</cp:revision>
  <dcterms:created xsi:type="dcterms:W3CDTF">2016-04-07T07:19:00Z</dcterms:created>
  <dcterms:modified xsi:type="dcterms:W3CDTF">2016-04-11T12:53:00Z</dcterms:modified>
</cp:coreProperties>
</file>