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57" w:rsidRDefault="004A4057" w:rsidP="00100E67">
      <w:pPr>
        <w:rPr>
          <w:rFonts w:ascii="Times New Roman" w:hAnsi="Times New Roman" w:cs="Times New Roman"/>
        </w:rPr>
      </w:pPr>
    </w:p>
    <w:p w:rsidR="004A4057" w:rsidRPr="008B4089" w:rsidRDefault="004A4057" w:rsidP="004A4057">
      <w:pPr>
        <w:pStyle w:val="Antrat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537D6">
        <w:rPr>
          <w:rFonts w:ascii="Times New Roman" w:hAnsi="Times New Roman"/>
        </w:rPr>
        <w:t xml:space="preserve"> Sutarties priedo „</w:t>
      </w:r>
      <w:r>
        <w:rPr>
          <w:rFonts w:ascii="Times New Roman" w:hAnsi="Times New Roman"/>
        </w:rPr>
        <w:t>A</w:t>
      </w:r>
      <w:r w:rsidRPr="003537D6">
        <w:rPr>
          <w:rFonts w:ascii="Times New Roman" w:hAnsi="Times New Roman"/>
        </w:rPr>
        <w:t>tsiskaitymų ir mokėjimų tvarka“</w:t>
      </w:r>
    </w:p>
    <w:p w:rsidR="004A4057" w:rsidRPr="008B4089" w:rsidRDefault="004A4057" w:rsidP="004A4057">
      <w:pPr>
        <w:pStyle w:val="Antrats"/>
        <w:tabs>
          <w:tab w:val="clear" w:pos="4819"/>
          <w:tab w:val="clear" w:pos="9638"/>
          <w:tab w:val="left" w:pos="6620"/>
        </w:tabs>
        <w:jc w:val="right"/>
      </w:pPr>
      <w:r w:rsidRPr="008B4089">
        <w:rPr>
          <w:rFonts w:ascii="Times New Roman" w:hAnsi="Times New Roman"/>
        </w:rPr>
        <w:t xml:space="preserve">Priedėlis </w:t>
      </w:r>
      <w:r>
        <w:rPr>
          <w:rFonts w:ascii="Times New Roman" w:hAnsi="Times New Roman"/>
        </w:rPr>
        <w:t>Nr. 3</w:t>
      </w:r>
      <w:r w:rsidRPr="008B4089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Išskaitų mechanizmas</w:t>
      </w:r>
      <w:r w:rsidRPr="008B4089">
        <w:rPr>
          <w:rFonts w:ascii="Times New Roman" w:hAnsi="Times New Roman"/>
        </w:rPr>
        <w:t>“</w:t>
      </w:r>
    </w:p>
    <w:p w:rsidR="004A4057" w:rsidRDefault="004A4057" w:rsidP="00100E67">
      <w:pPr>
        <w:rPr>
          <w:rFonts w:ascii="Times New Roman" w:hAnsi="Times New Roman" w:cs="Times New Roman"/>
        </w:rPr>
      </w:pPr>
    </w:p>
    <w:p w:rsidR="004A4057" w:rsidRPr="004A4057" w:rsidRDefault="004A4057" w:rsidP="004A4057">
      <w:pPr>
        <w:pStyle w:val="Antrat1"/>
        <w:jc w:val="center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bookmarkStart w:id="0" w:name="_Toc428437207"/>
      <w:r w:rsidRPr="004A4057"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IŠSKAITŲ MECHANIZMAS</w:t>
      </w:r>
      <w:bookmarkEnd w:id="0"/>
    </w:p>
    <w:p w:rsidR="004A4057" w:rsidRPr="004A4057" w:rsidRDefault="004A4057" w:rsidP="004A4057">
      <w:pPr>
        <w:rPr>
          <w:rFonts w:ascii="Times New Roman" w:hAnsi="Times New Roman" w:cs="Times New Roman"/>
        </w:rPr>
      </w:pPr>
      <w:r w:rsidRPr="004A4057">
        <w:rPr>
          <w:rFonts w:ascii="Times New Roman" w:hAnsi="Times New Roman" w:cs="Times New Roman"/>
        </w:rPr>
        <w:t xml:space="preserve"> </w:t>
      </w:r>
    </w:p>
    <w:p w:rsidR="004A4057" w:rsidRPr="004A4057" w:rsidRDefault="004A4057" w:rsidP="004A4057">
      <w:pPr>
        <w:pStyle w:val="Sraopastraipa"/>
        <w:numPr>
          <w:ilvl w:val="0"/>
          <w:numId w:val="11"/>
        </w:numPr>
        <w:jc w:val="center"/>
        <w:rPr>
          <w:rFonts w:ascii="Times New Roman" w:hAnsi="Times New Roman" w:cs="Times New Roman"/>
        </w:rPr>
      </w:pPr>
      <w:r w:rsidRPr="004A4057">
        <w:rPr>
          <w:rFonts w:ascii="Times New Roman" w:eastAsia="Times New Roman" w:hAnsi="Times New Roman" w:cs="Times New Roman"/>
          <w:b/>
          <w:iCs/>
          <w:smallCaps/>
        </w:rPr>
        <w:t>IŠSKAITŲ MECHANIZMO PASKIRTIS IR STRUKTŪRA</w:t>
      </w:r>
      <w:bookmarkStart w:id="1" w:name="_GoBack"/>
      <w:bookmarkEnd w:id="1"/>
    </w:p>
    <w:p w:rsidR="004A4057" w:rsidRDefault="004A4057" w:rsidP="00100E67">
      <w:pPr>
        <w:rPr>
          <w:rFonts w:ascii="Times New Roman" w:hAnsi="Times New Roman" w:cs="Times New Roman"/>
        </w:rPr>
      </w:pPr>
    </w:p>
    <w:p w:rsidR="00100E67" w:rsidRPr="00F17EFA" w:rsidRDefault="00100E67" w:rsidP="00100E67">
      <w:pPr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 </w:t>
      </w:r>
    </w:p>
    <w:p w:rsidR="00100E67" w:rsidRPr="00F17EFA" w:rsidRDefault="001165E6" w:rsidP="00100E6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Išskaitų</w:t>
      </w:r>
      <w:r w:rsidR="00100E67" w:rsidRPr="00F17EFA">
        <w:rPr>
          <w:rFonts w:ascii="Times New Roman" w:hAnsi="Times New Roman" w:cs="Times New Roman"/>
        </w:rPr>
        <w:t xml:space="preserve"> mechanizmo paskirtis – įpareigoti ir motyvuoti </w:t>
      </w:r>
      <w:r w:rsidR="00B02EBC">
        <w:rPr>
          <w:rFonts w:ascii="Times New Roman" w:hAnsi="Times New Roman" w:cs="Times New Roman"/>
        </w:rPr>
        <w:t>Projekto bendrovę</w:t>
      </w:r>
      <w:r w:rsidR="00B02EBC" w:rsidRPr="00F17EFA">
        <w:rPr>
          <w:rFonts w:ascii="Times New Roman" w:hAnsi="Times New Roman" w:cs="Times New Roman"/>
        </w:rPr>
        <w:t xml:space="preserve"> </w:t>
      </w:r>
      <w:r w:rsidR="00100E67" w:rsidRPr="00F17EFA">
        <w:rPr>
          <w:rFonts w:ascii="Times New Roman" w:hAnsi="Times New Roman" w:cs="Times New Roman"/>
        </w:rPr>
        <w:t xml:space="preserve">laikytis </w:t>
      </w:r>
      <w:r w:rsidR="004A4057">
        <w:rPr>
          <w:rFonts w:ascii="Times New Roman" w:hAnsi="Times New Roman" w:cs="Times New Roman"/>
        </w:rPr>
        <w:t xml:space="preserve">Sutartyje, įskaitant </w:t>
      </w:r>
      <w:r w:rsidR="00100E67" w:rsidRPr="00F17EFA">
        <w:rPr>
          <w:rFonts w:ascii="Times New Roman" w:hAnsi="Times New Roman" w:cs="Times New Roman"/>
        </w:rPr>
        <w:t>Specifikacij</w:t>
      </w:r>
      <w:r w:rsidR="004A4057">
        <w:rPr>
          <w:rFonts w:ascii="Times New Roman" w:hAnsi="Times New Roman" w:cs="Times New Roman"/>
        </w:rPr>
        <w:t>as,</w:t>
      </w:r>
      <w:r w:rsidR="00100E67" w:rsidRPr="00F17EFA">
        <w:rPr>
          <w:rFonts w:ascii="Times New Roman" w:hAnsi="Times New Roman" w:cs="Times New Roman"/>
        </w:rPr>
        <w:t xml:space="preserve"> numatytų reikalavimų, taikant </w:t>
      </w:r>
      <w:r w:rsidR="0068195D">
        <w:rPr>
          <w:rFonts w:ascii="Times New Roman" w:hAnsi="Times New Roman" w:cs="Times New Roman"/>
        </w:rPr>
        <w:t>išskaitų</w:t>
      </w:r>
      <w:r w:rsidR="0068195D" w:rsidRPr="00F17EFA">
        <w:rPr>
          <w:rFonts w:ascii="Times New Roman" w:hAnsi="Times New Roman" w:cs="Times New Roman"/>
        </w:rPr>
        <w:t xml:space="preserve"> </w:t>
      </w:r>
      <w:r w:rsidR="00100E67" w:rsidRPr="00F17EFA">
        <w:rPr>
          <w:rFonts w:ascii="Times New Roman" w:hAnsi="Times New Roman" w:cs="Times New Roman"/>
        </w:rPr>
        <w:t>mechanizmą yra apskaičiuojamos Suteikianči</w:t>
      </w:r>
      <w:r w:rsidR="004A4057">
        <w:rPr>
          <w:rFonts w:ascii="Times New Roman" w:hAnsi="Times New Roman" w:cs="Times New Roman"/>
        </w:rPr>
        <w:t>osioms</w:t>
      </w:r>
      <w:r w:rsidR="00100E67" w:rsidRPr="00F17EFA">
        <w:rPr>
          <w:rFonts w:ascii="Times New Roman" w:hAnsi="Times New Roman" w:cs="Times New Roman"/>
        </w:rPr>
        <w:t xml:space="preserve"> institucij</w:t>
      </w:r>
      <w:r w:rsidR="004A4057">
        <w:rPr>
          <w:rFonts w:ascii="Times New Roman" w:hAnsi="Times New Roman" w:cs="Times New Roman"/>
        </w:rPr>
        <w:t>oms</w:t>
      </w:r>
      <w:r w:rsidR="00100E67" w:rsidRPr="00F17EFA">
        <w:rPr>
          <w:rFonts w:ascii="Times New Roman" w:hAnsi="Times New Roman" w:cs="Times New Roman"/>
        </w:rPr>
        <w:t xml:space="preserve"> mokėtinos </w:t>
      </w:r>
      <w:r>
        <w:rPr>
          <w:rFonts w:ascii="Times New Roman" w:hAnsi="Times New Roman" w:cs="Times New Roman"/>
        </w:rPr>
        <w:t>išskait</w:t>
      </w:r>
      <w:r w:rsidR="00100E67" w:rsidRPr="00F17EFA">
        <w:rPr>
          <w:rFonts w:ascii="Times New Roman" w:hAnsi="Times New Roman" w:cs="Times New Roman"/>
        </w:rPr>
        <w:t>os (netesybos), kurios yra laikomos minimaliais Suteikianči</w:t>
      </w:r>
      <w:r w:rsidR="004A4057">
        <w:rPr>
          <w:rFonts w:ascii="Times New Roman" w:hAnsi="Times New Roman" w:cs="Times New Roman"/>
        </w:rPr>
        <w:t>ųjų</w:t>
      </w:r>
      <w:r w:rsidR="00100E67" w:rsidRPr="00F17EFA">
        <w:rPr>
          <w:rFonts w:ascii="Times New Roman" w:hAnsi="Times New Roman" w:cs="Times New Roman"/>
        </w:rPr>
        <w:t xml:space="preserve"> institucij</w:t>
      </w:r>
      <w:r w:rsidR="004A4057">
        <w:rPr>
          <w:rFonts w:ascii="Times New Roman" w:hAnsi="Times New Roman" w:cs="Times New Roman"/>
        </w:rPr>
        <w:t>ų</w:t>
      </w:r>
      <w:r w:rsidR="00100E67" w:rsidRPr="00F17EFA">
        <w:rPr>
          <w:rFonts w:ascii="Times New Roman" w:hAnsi="Times New Roman" w:cs="Times New Roman"/>
        </w:rPr>
        <w:t xml:space="preserve"> nuostoliais. </w:t>
      </w:r>
      <w:r>
        <w:rPr>
          <w:rFonts w:ascii="Times New Roman" w:hAnsi="Times New Roman" w:cs="Times New Roman"/>
        </w:rPr>
        <w:t>Išskaitų</w:t>
      </w:r>
      <w:r w:rsidR="00100E67" w:rsidRPr="00F17EFA">
        <w:rPr>
          <w:rFonts w:ascii="Times New Roman" w:hAnsi="Times New Roman" w:cs="Times New Roman"/>
        </w:rPr>
        <w:t xml:space="preserve"> mechanizmas nėra taikomas pažeidimų, atsiradusių </w:t>
      </w:r>
      <w:r w:rsidR="004A4057">
        <w:rPr>
          <w:rFonts w:ascii="Times New Roman" w:hAnsi="Times New Roman" w:cs="Times New Roman"/>
        </w:rPr>
        <w:t>s</w:t>
      </w:r>
      <w:r w:rsidR="00100E67" w:rsidRPr="00F17EFA">
        <w:rPr>
          <w:rFonts w:ascii="Times New Roman" w:hAnsi="Times New Roman" w:cs="Times New Roman"/>
        </w:rPr>
        <w:t xml:space="preserve">tatinių ir teritorijos būklės specifikacijų, taip pat </w:t>
      </w:r>
      <w:r w:rsidR="004A4057">
        <w:rPr>
          <w:rFonts w:ascii="Times New Roman" w:hAnsi="Times New Roman" w:cs="Times New Roman"/>
        </w:rPr>
        <w:t xml:space="preserve">Daugiafunkcio komplekso ir Naujo turto </w:t>
      </w:r>
      <w:r w:rsidR="00100E67" w:rsidRPr="00F17EFA">
        <w:rPr>
          <w:rFonts w:ascii="Times New Roman" w:hAnsi="Times New Roman" w:cs="Times New Roman"/>
        </w:rPr>
        <w:t xml:space="preserve"> valdymo plano specifikacijų atžvilgiu. Sankcijos dėl šių pažeidimų taikomos remiantis Sutartimi. </w:t>
      </w:r>
      <w:r>
        <w:rPr>
          <w:rFonts w:ascii="Times New Roman" w:hAnsi="Times New Roman" w:cs="Times New Roman"/>
        </w:rPr>
        <w:t>Išskaitų</w:t>
      </w:r>
      <w:r w:rsidR="00100E67" w:rsidRPr="00F17EFA">
        <w:rPr>
          <w:rFonts w:ascii="Times New Roman" w:hAnsi="Times New Roman" w:cs="Times New Roman"/>
        </w:rPr>
        <w:t xml:space="preserve"> mechanizme naudojamos sąvokos atitinka sąvokas nurodytas </w:t>
      </w:r>
      <w:r w:rsidR="004A4057">
        <w:rPr>
          <w:rFonts w:ascii="Times New Roman" w:hAnsi="Times New Roman" w:cs="Times New Roman"/>
        </w:rPr>
        <w:t>Sutartyje</w:t>
      </w:r>
      <w:r w:rsidR="00100E67" w:rsidRPr="004A4057">
        <w:rPr>
          <w:rFonts w:ascii="Times New Roman" w:hAnsi="Times New Roman" w:cs="Times New Roman"/>
        </w:rPr>
        <w:t>,</w:t>
      </w:r>
      <w:r w:rsidR="00100E67" w:rsidRPr="00F17EFA">
        <w:rPr>
          <w:rFonts w:ascii="Times New Roman" w:hAnsi="Times New Roman" w:cs="Times New Roman"/>
        </w:rPr>
        <w:t xml:space="preserve"> nebent aiškiai būtų pasakyta kitaip arba kontekstas aiškiai suteiktų kitą prasmę. </w:t>
      </w:r>
    </w:p>
    <w:p w:rsidR="00100E67" w:rsidRPr="00F17EFA" w:rsidRDefault="001165E6" w:rsidP="003A247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Išskaitų</w:t>
      </w:r>
      <w:r w:rsidR="00100E67" w:rsidRPr="00F17EFA">
        <w:rPr>
          <w:rFonts w:ascii="Times New Roman" w:hAnsi="Times New Roman" w:cs="Times New Roman"/>
        </w:rPr>
        <w:t xml:space="preserve"> mechanizmas apibrėžia </w:t>
      </w:r>
      <w:r>
        <w:rPr>
          <w:rFonts w:ascii="Times New Roman" w:hAnsi="Times New Roman" w:cs="Times New Roman"/>
        </w:rPr>
        <w:t>išskait</w:t>
      </w:r>
      <w:r w:rsidR="00100E67" w:rsidRPr="00F17EFA">
        <w:rPr>
          <w:rFonts w:ascii="Times New Roman" w:hAnsi="Times New Roman" w:cs="Times New Roman"/>
        </w:rPr>
        <w:t xml:space="preserve">os dydžio už kiekvieną </w:t>
      </w:r>
      <w:r w:rsidR="004A4057">
        <w:rPr>
          <w:rFonts w:ascii="Times New Roman" w:hAnsi="Times New Roman" w:cs="Times New Roman"/>
        </w:rPr>
        <w:t>S</w:t>
      </w:r>
      <w:r w:rsidR="00100E67" w:rsidRPr="00F17EFA">
        <w:rPr>
          <w:rFonts w:ascii="Times New Roman" w:hAnsi="Times New Roman" w:cs="Times New Roman"/>
        </w:rPr>
        <w:t xml:space="preserve">pecifikacijų pažeidimą apskaičiavimo taisykles. </w:t>
      </w:r>
      <w:r w:rsidR="004A4057">
        <w:rPr>
          <w:rFonts w:ascii="Times New Roman" w:hAnsi="Times New Roman" w:cs="Times New Roman"/>
        </w:rPr>
        <w:t>S</w:t>
      </w:r>
      <w:r w:rsidR="00100E67" w:rsidRPr="00F17EFA">
        <w:rPr>
          <w:rFonts w:ascii="Times New Roman" w:hAnsi="Times New Roman" w:cs="Times New Roman"/>
        </w:rPr>
        <w:t xml:space="preserve">pecifikacijų pažeidimas gali būti </w:t>
      </w:r>
      <w:r w:rsidR="00021866">
        <w:rPr>
          <w:rFonts w:ascii="Times New Roman" w:hAnsi="Times New Roman" w:cs="Times New Roman"/>
        </w:rPr>
        <w:t>keturių</w:t>
      </w:r>
      <w:r w:rsidR="00100E67" w:rsidRPr="00F17EFA">
        <w:rPr>
          <w:rFonts w:ascii="Times New Roman" w:hAnsi="Times New Roman" w:cs="Times New Roman"/>
        </w:rPr>
        <w:t xml:space="preserve"> </w:t>
      </w:r>
      <w:r w:rsidR="00550CF8" w:rsidRPr="00F17EFA">
        <w:rPr>
          <w:rFonts w:ascii="Times New Roman" w:hAnsi="Times New Roman" w:cs="Times New Roman"/>
        </w:rPr>
        <w:t>kategorijų</w:t>
      </w:r>
      <w:r w:rsidR="00100E67" w:rsidRPr="00F17EFA">
        <w:rPr>
          <w:rFonts w:ascii="Times New Roman" w:hAnsi="Times New Roman" w:cs="Times New Roman"/>
        </w:rPr>
        <w:t xml:space="preserve"> – </w:t>
      </w:r>
      <w:r w:rsidR="004A4057">
        <w:rPr>
          <w:rFonts w:ascii="Times New Roman" w:hAnsi="Times New Roman" w:cs="Times New Roman"/>
        </w:rPr>
        <w:t>v</w:t>
      </w:r>
      <w:r w:rsidR="00432E7B" w:rsidRPr="00F17EFA">
        <w:rPr>
          <w:rFonts w:ascii="Times New Roman" w:hAnsi="Times New Roman" w:cs="Times New Roman"/>
        </w:rPr>
        <w:t xml:space="preserve">eiklos </w:t>
      </w:r>
      <w:r w:rsidR="009C07FC" w:rsidRPr="00F17EFA">
        <w:rPr>
          <w:rFonts w:ascii="Times New Roman" w:hAnsi="Times New Roman" w:cs="Times New Roman"/>
        </w:rPr>
        <w:t>trūkumų</w:t>
      </w:r>
      <w:r w:rsidR="00432E7B" w:rsidRPr="00F17EFA">
        <w:rPr>
          <w:rFonts w:ascii="Times New Roman" w:hAnsi="Times New Roman" w:cs="Times New Roman"/>
        </w:rPr>
        <w:t xml:space="preserve"> </w:t>
      </w:r>
      <w:r w:rsidR="00100E67" w:rsidRPr="00F17EFA">
        <w:rPr>
          <w:rFonts w:ascii="Times New Roman" w:hAnsi="Times New Roman" w:cs="Times New Roman"/>
        </w:rPr>
        <w:t>pažeidimas</w:t>
      </w:r>
      <w:r w:rsidR="008B124B" w:rsidRPr="00F17EFA">
        <w:rPr>
          <w:rFonts w:ascii="Times New Roman" w:hAnsi="Times New Roman" w:cs="Times New Roman"/>
        </w:rPr>
        <w:t>,</w:t>
      </w:r>
      <w:r w:rsidR="00100E67" w:rsidRPr="00F17EFA">
        <w:rPr>
          <w:rFonts w:ascii="Times New Roman" w:hAnsi="Times New Roman" w:cs="Times New Roman"/>
        </w:rPr>
        <w:t xml:space="preserve"> </w:t>
      </w:r>
      <w:r w:rsidR="00432E7B" w:rsidRPr="00F17EFA">
        <w:rPr>
          <w:rFonts w:ascii="Times New Roman" w:hAnsi="Times New Roman" w:cs="Times New Roman"/>
        </w:rPr>
        <w:t>Paslaugų neprieinamumo</w:t>
      </w:r>
      <w:r w:rsidR="008B124B" w:rsidRPr="00F17EFA">
        <w:rPr>
          <w:rFonts w:ascii="Times New Roman" w:hAnsi="Times New Roman" w:cs="Times New Roman"/>
        </w:rPr>
        <w:t xml:space="preserve"> pažeidimas</w:t>
      </w:r>
      <w:r w:rsidR="00A30F4F" w:rsidRPr="00F17EFA">
        <w:rPr>
          <w:rFonts w:ascii="Times New Roman" w:hAnsi="Times New Roman" w:cs="Times New Roman"/>
        </w:rPr>
        <w:t>,</w:t>
      </w:r>
      <w:r w:rsidR="008B124B" w:rsidRPr="00F17EFA">
        <w:rPr>
          <w:rFonts w:ascii="Times New Roman" w:hAnsi="Times New Roman" w:cs="Times New Roman"/>
        </w:rPr>
        <w:t xml:space="preserve"> </w:t>
      </w:r>
      <w:r w:rsidR="00896A98">
        <w:rPr>
          <w:rFonts w:ascii="Times New Roman" w:hAnsi="Times New Roman" w:cs="Times New Roman"/>
        </w:rPr>
        <w:t>r</w:t>
      </w:r>
      <w:r w:rsidR="00A30F4F" w:rsidRPr="00F17EFA">
        <w:rPr>
          <w:rFonts w:ascii="Times New Roman" w:hAnsi="Times New Roman" w:cs="Times New Roman"/>
        </w:rPr>
        <w:t>enginio režimo pažeidimas</w:t>
      </w:r>
      <w:r w:rsidR="00E161B3" w:rsidRPr="00F17EFA">
        <w:rPr>
          <w:rFonts w:ascii="Times New Roman" w:hAnsi="Times New Roman" w:cs="Times New Roman"/>
        </w:rPr>
        <w:t xml:space="preserve"> ar </w:t>
      </w:r>
      <w:r w:rsidR="00896A98">
        <w:rPr>
          <w:rFonts w:ascii="Times New Roman" w:hAnsi="Times New Roman" w:cs="Times New Roman"/>
        </w:rPr>
        <w:t>k</w:t>
      </w:r>
      <w:r w:rsidR="00E161B3" w:rsidRPr="00F17EFA">
        <w:rPr>
          <w:rFonts w:ascii="Times New Roman" w:hAnsi="Times New Roman" w:cs="Times New Roman"/>
        </w:rPr>
        <w:t xml:space="preserve">apitalinės priežiūros darbų pažeidimų </w:t>
      </w:r>
      <w:r>
        <w:rPr>
          <w:rFonts w:ascii="Times New Roman" w:hAnsi="Times New Roman" w:cs="Times New Roman"/>
        </w:rPr>
        <w:t>išskait</w:t>
      </w:r>
      <w:r w:rsidR="00E161B3" w:rsidRPr="00F17EFA">
        <w:rPr>
          <w:rFonts w:ascii="Times New Roman" w:hAnsi="Times New Roman" w:cs="Times New Roman"/>
        </w:rPr>
        <w:t>a</w:t>
      </w:r>
      <w:r w:rsidR="00A30F4F" w:rsidRPr="00F17EFA">
        <w:rPr>
          <w:rFonts w:ascii="Times New Roman" w:hAnsi="Times New Roman" w:cs="Times New Roman"/>
        </w:rPr>
        <w:t>,</w:t>
      </w:r>
      <w:r w:rsidR="008B124B" w:rsidRPr="00F17EFA">
        <w:rPr>
          <w:rFonts w:ascii="Times New Roman" w:hAnsi="Times New Roman" w:cs="Times New Roman"/>
        </w:rPr>
        <w:t xml:space="preserve"> ir</w:t>
      </w:r>
      <w:r w:rsidR="00100E67" w:rsidRPr="00F17EFA">
        <w:rPr>
          <w:rFonts w:ascii="Times New Roman" w:hAnsi="Times New Roman" w:cs="Times New Roman"/>
        </w:rPr>
        <w:t xml:space="preserve"> atitinkamai skaičiuojama kiekvieno atskiro </w:t>
      </w:r>
      <w:r w:rsidR="00896A98">
        <w:rPr>
          <w:rFonts w:ascii="Times New Roman" w:hAnsi="Times New Roman" w:cs="Times New Roman"/>
        </w:rPr>
        <w:t>v</w:t>
      </w:r>
      <w:r w:rsidR="00432E7B" w:rsidRPr="00F17EFA">
        <w:rPr>
          <w:rFonts w:ascii="Times New Roman" w:hAnsi="Times New Roman" w:cs="Times New Roman"/>
        </w:rPr>
        <w:t xml:space="preserve">eiklos </w:t>
      </w:r>
      <w:r w:rsidR="009C07FC" w:rsidRPr="00F17EFA">
        <w:rPr>
          <w:rFonts w:ascii="Times New Roman" w:hAnsi="Times New Roman" w:cs="Times New Roman"/>
        </w:rPr>
        <w:t>trūkumų</w:t>
      </w:r>
      <w:r w:rsidR="008B124B" w:rsidRPr="00F17EFA">
        <w:rPr>
          <w:rFonts w:ascii="Times New Roman" w:hAnsi="Times New Roman" w:cs="Times New Roman"/>
        </w:rPr>
        <w:t xml:space="preserve"> pažeidimo </w:t>
      </w:r>
      <w:r>
        <w:rPr>
          <w:rFonts w:ascii="Times New Roman" w:hAnsi="Times New Roman" w:cs="Times New Roman"/>
        </w:rPr>
        <w:t>išskait</w:t>
      </w:r>
      <w:r w:rsidR="008B124B" w:rsidRPr="00F17EFA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Paslaugų nepri</w:t>
      </w:r>
      <w:r w:rsidR="00432E7B" w:rsidRPr="00F17EFA">
        <w:rPr>
          <w:rFonts w:ascii="Times New Roman" w:hAnsi="Times New Roman" w:cs="Times New Roman"/>
        </w:rPr>
        <w:t>einam</w:t>
      </w:r>
      <w:r>
        <w:rPr>
          <w:rFonts w:ascii="Times New Roman" w:hAnsi="Times New Roman" w:cs="Times New Roman"/>
        </w:rPr>
        <w:t>umo</w:t>
      </w:r>
      <w:r w:rsidR="00100E67" w:rsidRPr="00F17EFA">
        <w:rPr>
          <w:rFonts w:ascii="Times New Roman" w:hAnsi="Times New Roman" w:cs="Times New Roman"/>
        </w:rPr>
        <w:t xml:space="preserve"> pažeidimo </w:t>
      </w:r>
      <w:r>
        <w:rPr>
          <w:rFonts w:ascii="Times New Roman" w:hAnsi="Times New Roman" w:cs="Times New Roman"/>
        </w:rPr>
        <w:t>išskait</w:t>
      </w:r>
      <w:r w:rsidR="00100E67" w:rsidRPr="00F17EFA">
        <w:rPr>
          <w:rFonts w:ascii="Times New Roman" w:hAnsi="Times New Roman" w:cs="Times New Roman"/>
        </w:rPr>
        <w:t>a</w:t>
      </w:r>
      <w:r w:rsidR="00A30F4F" w:rsidRPr="00F17EFA">
        <w:rPr>
          <w:rFonts w:ascii="Times New Roman" w:hAnsi="Times New Roman" w:cs="Times New Roman"/>
        </w:rPr>
        <w:t>,</w:t>
      </w:r>
      <w:r w:rsidR="008B124B" w:rsidRPr="00F17EFA">
        <w:rPr>
          <w:rFonts w:ascii="Times New Roman" w:hAnsi="Times New Roman" w:cs="Times New Roman"/>
        </w:rPr>
        <w:t xml:space="preserve"> </w:t>
      </w:r>
      <w:r w:rsidR="00A30F4F" w:rsidRPr="00F17EFA">
        <w:rPr>
          <w:rFonts w:ascii="Times New Roman" w:hAnsi="Times New Roman" w:cs="Times New Roman"/>
        </w:rPr>
        <w:t xml:space="preserve"> </w:t>
      </w:r>
      <w:r w:rsidR="00896A98">
        <w:rPr>
          <w:rFonts w:ascii="Times New Roman" w:hAnsi="Times New Roman" w:cs="Times New Roman"/>
        </w:rPr>
        <w:t>r</w:t>
      </w:r>
      <w:r w:rsidR="00A30F4F" w:rsidRPr="00F17EFA">
        <w:rPr>
          <w:rFonts w:ascii="Times New Roman" w:hAnsi="Times New Roman" w:cs="Times New Roman"/>
        </w:rPr>
        <w:t xml:space="preserve">enginio režimo pažeidimo </w:t>
      </w:r>
      <w:r>
        <w:rPr>
          <w:rFonts w:ascii="Times New Roman" w:hAnsi="Times New Roman" w:cs="Times New Roman"/>
        </w:rPr>
        <w:t>išskait</w:t>
      </w:r>
      <w:r w:rsidR="00A30F4F" w:rsidRPr="00F17EFA">
        <w:rPr>
          <w:rFonts w:ascii="Times New Roman" w:hAnsi="Times New Roman" w:cs="Times New Roman"/>
        </w:rPr>
        <w:t>a</w:t>
      </w:r>
      <w:r w:rsidR="00E161B3" w:rsidRPr="00F17EFA">
        <w:rPr>
          <w:rFonts w:ascii="Times New Roman" w:hAnsi="Times New Roman" w:cs="Times New Roman"/>
        </w:rPr>
        <w:t xml:space="preserve"> ir </w:t>
      </w:r>
      <w:r w:rsidR="00896A98">
        <w:rPr>
          <w:rFonts w:ascii="Times New Roman" w:hAnsi="Times New Roman" w:cs="Times New Roman"/>
        </w:rPr>
        <w:t>k</w:t>
      </w:r>
      <w:r w:rsidR="00E161B3" w:rsidRPr="00F17EFA">
        <w:rPr>
          <w:rFonts w:ascii="Times New Roman" w:hAnsi="Times New Roman" w:cs="Times New Roman"/>
        </w:rPr>
        <w:t xml:space="preserve">apitalinės priežiūros darbų pažeidimų </w:t>
      </w:r>
      <w:r>
        <w:rPr>
          <w:rFonts w:ascii="Times New Roman" w:hAnsi="Times New Roman" w:cs="Times New Roman"/>
        </w:rPr>
        <w:t>išskait</w:t>
      </w:r>
      <w:r w:rsidR="00E161B3" w:rsidRPr="00F17EFA">
        <w:rPr>
          <w:rFonts w:ascii="Times New Roman" w:hAnsi="Times New Roman" w:cs="Times New Roman"/>
        </w:rPr>
        <w:t>a</w:t>
      </w:r>
      <w:r w:rsidR="00100E67" w:rsidRPr="00F17EFA">
        <w:rPr>
          <w:rFonts w:ascii="Times New Roman" w:hAnsi="Times New Roman" w:cs="Times New Roman"/>
        </w:rPr>
        <w:t xml:space="preserve">. </w:t>
      </w:r>
      <w:r w:rsidR="000B0BC6" w:rsidRPr="00F17EFA">
        <w:rPr>
          <w:rFonts w:ascii="Times New Roman" w:hAnsi="Times New Roman" w:cs="Times New Roman"/>
        </w:rPr>
        <w:t>Šių</w:t>
      </w:r>
      <w:r w:rsidR="00550CF8" w:rsidRPr="00F17EFA">
        <w:rPr>
          <w:rFonts w:ascii="Times New Roman" w:hAnsi="Times New Roman" w:cs="Times New Roman"/>
        </w:rPr>
        <w:t xml:space="preserve"> kategorijų</w:t>
      </w:r>
      <w:r w:rsidR="000B0BC6" w:rsidRPr="00F17EFA">
        <w:rPr>
          <w:rFonts w:ascii="Times New Roman" w:hAnsi="Times New Roman" w:cs="Times New Roman"/>
        </w:rPr>
        <w:t xml:space="preserve"> pažeidimų </w:t>
      </w:r>
      <w:r>
        <w:rPr>
          <w:rFonts w:ascii="Times New Roman" w:hAnsi="Times New Roman" w:cs="Times New Roman"/>
        </w:rPr>
        <w:t>išskait</w:t>
      </w:r>
      <w:r w:rsidR="000B0BC6" w:rsidRPr="00F17EFA">
        <w:rPr>
          <w:rFonts w:ascii="Times New Roman" w:hAnsi="Times New Roman" w:cs="Times New Roman"/>
        </w:rPr>
        <w:t xml:space="preserve">os yra apskaičiuojamos </w:t>
      </w:r>
      <w:r w:rsidR="00100E67" w:rsidRPr="00F17EFA">
        <w:rPr>
          <w:rFonts w:ascii="Times New Roman" w:hAnsi="Times New Roman" w:cs="Times New Roman"/>
        </w:rPr>
        <w:t>taikant skirtingas taisykles.</w:t>
      </w:r>
      <w:r w:rsidR="003A2478">
        <w:rPr>
          <w:rFonts w:ascii="Times New Roman" w:hAnsi="Times New Roman" w:cs="Times New Roman"/>
        </w:rPr>
        <w:t xml:space="preserve"> </w:t>
      </w:r>
      <w:r w:rsidR="00100E67" w:rsidRPr="00F17EFA">
        <w:rPr>
          <w:rFonts w:ascii="Times New Roman" w:hAnsi="Times New Roman" w:cs="Times New Roman"/>
        </w:rPr>
        <w:t xml:space="preserve">Toliau </w:t>
      </w:r>
      <w:r w:rsidR="0068195D">
        <w:rPr>
          <w:rFonts w:ascii="Times New Roman" w:hAnsi="Times New Roman" w:cs="Times New Roman"/>
        </w:rPr>
        <w:t>išskaitų</w:t>
      </w:r>
      <w:r w:rsidR="0068195D" w:rsidRPr="00F17EFA">
        <w:rPr>
          <w:rFonts w:ascii="Times New Roman" w:hAnsi="Times New Roman" w:cs="Times New Roman"/>
        </w:rPr>
        <w:t xml:space="preserve"> </w:t>
      </w:r>
      <w:r w:rsidR="00100E67" w:rsidRPr="00F17EFA">
        <w:rPr>
          <w:rFonts w:ascii="Times New Roman" w:hAnsi="Times New Roman" w:cs="Times New Roman"/>
        </w:rPr>
        <w:t xml:space="preserve">mechanizme pateikiamos šios taisyklės. </w:t>
      </w:r>
    </w:p>
    <w:p w:rsidR="00100E67" w:rsidRPr="00F17EFA" w:rsidRDefault="00B02EBC" w:rsidP="00100E6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 bendrovei</w:t>
      </w:r>
      <w:r w:rsidR="00100E67" w:rsidRPr="00F17EFA">
        <w:rPr>
          <w:rFonts w:ascii="Times New Roman" w:hAnsi="Times New Roman" w:cs="Times New Roman"/>
        </w:rPr>
        <w:t xml:space="preserve"> taikomos atskiros </w:t>
      </w:r>
      <w:r w:rsidR="001165E6">
        <w:rPr>
          <w:rFonts w:ascii="Times New Roman" w:hAnsi="Times New Roman" w:cs="Times New Roman"/>
        </w:rPr>
        <w:t>išskait</w:t>
      </w:r>
      <w:r w:rsidR="00100E67" w:rsidRPr="00F17EFA">
        <w:rPr>
          <w:rFonts w:ascii="Times New Roman" w:hAnsi="Times New Roman" w:cs="Times New Roman"/>
        </w:rPr>
        <w:t>os už</w:t>
      </w:r>
      <w:r w:rsidR="00E35C02" w:rsidRPr="00F17EFA">
        <w:rPr>
          <w:rFonts w:ascii="Times New Roman" w:hAnsi="Times New Roman" w:cs="Times New Roman"/>
        </w:rPr>
        <w:t>:</w:t>
      </w:r>
      <w:r w:rsidR="00100E67" w:rsidRPr="00F17EFA">
        <w:rPr>
          <w:rFonts w:ascii="Times New Roman" w:hAnsi="Times New Roman" w:cs="Times New Roman"/>
        </w:rPr>
        <w:t xml:space="preserve">: </w:t>
      </w:r>
    </w:p>
    <w:p w:rsidR="003F7608" w:rsidRPr="00F17EFA" w:rsidRDefault="00100E67" w:rsidP="00100E67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Veiklos </w:t>
      </w:r>
      <w:r w:rsidR="009C07FC" w:rsidRPr="00F17EFA">
        <w:rPr>
          <w:rFonts w:ascii="Times New Roman" w:hAnsi="Times New Roman" w:cs="Times New Roman"/>
        </w:rPr>
        <w:t>trūkumų</w:t>
      </w:r>
      <w:r w:rsidRPr="00F17EFA">
        <w:rPr>
          <w:rFonts w:ascii="Times New Roman" w:hAnsi="Times New Roman" w:cs="Times New Roman"/>
        </w:rPr>
        <w:t xml:space="preserve"> pažeidim</w:t>
      </w:r>
      <w:r w:rsidR="00E35C02" w:rsidRPr="00F17EFA">
        <w:rPr>
          <w:rFonts w:ascii="Times New Roman" w:hAnsi="Times New Roman" w:cs="Times New Roman"/>
        </w:rPr>
        <w:t>us</w:t>
      </w:r>
      <w:r w:rsidRPr="00F17EFA">
        <w:rPr>
          <w:rFonts w:ascii="Times New Roman" w:hAnsi="Times New Roman" w:cs="Times New Roman"/>
        </w:rPr>
        <w:t xml:space="preserve"> [</w:t>
      </w:r>
      <w:r w:rsidR="00E33BB9" w:rsidRPr="00F17EFA">
        <w:rPr>
          <w:rFonts w:ascii="Times New Roman" w:hAnsi="Times New Roman" w:cs="Times New Roman"/>
        </w:rPr>
        <w:t>VT</w:t>
      </w:r>
      <w:r w:rsidR="00421FFF" w:rsidRPr="00F17EFA">
        <w:rPr>
          <w:rFonts w:ascii="Times New Roman" w:hAnsi="Times New Roman" w:cs="Times New Roman"/>
        </w:rPr>
        <w:t>B</w:t>
      </w:r>
      <w:r w:rsidRPr="00F17EFA">
        <w:rPr>
          <w:rFonts w:ascii="Times New Roman" w:hAnsi="Times New Roman" w:cs="Times New Roman"/>
        </w:rPr>
        <w:t>]</w:t>
      </w:r>
      <w:r w:rsidR="00896A98">
        <w:rPr>
          <w:rFonts w:ascii="Times New Roman" w:hAnsi="Times New Roman" w:cs="Times New Roman"/>
        </w:rPr>
        <w:t>.</w:t>
      </w:r>
      <w:r w:rsidRPr="00F17EFA">
        <w:rPr>
          <w:rFonts w:ascii="Times New Roman" w:hAnsi="Times New Roman" w:cs="Times New Roman"/>
        </w:rPr>
        <w:t xml:space="preserve"> </w:t>
      </w:r>
    </w:p>
    <w:p w:rsidR="00E33BB9" w:rsidRPr="00F17EFA" w:rsidRDefault="003F7608" w:rsidP="00100E67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Paslaugų neprieinamumo </w:t>
      </w:r>
      <w:r w:rsidR="00100E67" w:rsidRPr="00F17EFA">
        <w:rPr>
          <w:rFonts w:ascii="Times New Roman" w:hAnsi="Times New Roman" w:cs="Times New Roman"/>
        </w:rPr>
        <w:t>pažeidim</w:t>
      </w:r>
      <w:r w:rsidR="00E35C02" w:rsidRPr="00F17EFA">
        <w:rPr>
          <w:rFonts w:ascii="Times New Roman" w:hAnsi="Times New Roman" w:cs="Times New Roman"/>
        </w:rPr>
        <w:t>us</w:t>
      </w:r>
      <w:r w:rsidR="00100E67" w:rsidRPr="00F17EFA">
        <w:rPr>
          <w:rFonts w:ascii="Times New Roman" w:hAnsi="Times New Roman" w:cs="Times New Roman"/>
        </w:rPr>
        <w:t xml:space="preserve"> [</w:t>
      </w:r>
      <w:r w:rsidR="00E33BB9" w:rsidRPr="00F17EFA">
        <w:rPr>
          <w:rFonts w:ascii="Times New Roman" w:hAnsi="Times New Roman" w:cs="Times New Roman"/>
        </w:rPr>
        <w:t>PNB</w:t>
      </w:r>
      <w:r w:rsidR="008B124B" w:rsidRPr="00F17EFA">
        <w:rPr>
          <w:rFonts w:ascii="Times New Roman" w:hAnsi="Times New Roman" w:cs="Times New Roman"/>
        </w:rPr>
        <w:t>]</w:t>
      </w:r>
      <w:r w:rsidR="00896A98">
        <w:rPr>
          <w:rFonts w:ascii="Times New Roman" w:hAnsi="Times New Roman" w:cs="Times New Roman"/>
        </w:rPr>
        <w:t>.</w:t>
      </w:r>
    </w:p>
    <w:p w:rsidR="000B0BC6" w:rsidRPr="00F17EFA" w:rsidRDefault="000B0BC6" w:rsidP="00100E67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Renginio režimo pažeidim</w:t>
      </w:r>
      <w:r w:rsidR="00E35C02" w:rsidRPr="00F17EFA">
        <w:rPr>
          <w:rFonts w:ascii="Times New Roman" w:hAnsi="Times New Roman" w:cs="Times New Roman"/>
        </w:rPr>
        <w:t>us</w:t>
      </w:r>
      <w:r w:rsidRPr="00F17EFA">
        <w:rPr>
          <w:rFonts w:ascii="Times New Roman" w:hAnsi="Times New Roman" w:cs="Times New Roman"/>
        </w:rPr>
        <w:t xml:space="preserve"> [RRB]</w:t>
      </w:r>
      <w:r w:rsidR="00896A98">
        <w:rPr>
          <w:rFonts w:ascii="Times New Roman" w:hAnsi="Times New Roman" w:cs="Times New Roman"/>
        </w:rPr>
        <w:t>.</w:t>
      </w:r>
    </w:p>
    <w:p w:rsidR="00E161B3" w:rsidRPr="00F17EFA" w:rsidRDefault="00E161B3" w:rsidP="00E161B3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Kapitalinės priežiūros darbų </w:t>
      </w:r>
      <w:r w:rsidR="00297DD9" w:rsidRPr="00F17EFA">
        <w:rPr>
          <w:rFonts w:ascii="Times New Roman" w:hAnsi="Times New Roman" w:cs="Times New Roman"/>
        </w:rPr>
        <w:t xml:space="preserve">pažeidimus </w:t>
      </w:r>
      <w:r w:rsidRPr="00F17EFA">
        <w:rPr>
          <w:rFonts w:ascii="Times New Roman" w:hAnsi="Times New Roman" w:cs="Times New Roman"/>
        </w:rPr>
        <w:t>[ANB].</w:t>
      </w:r>
    </w:p>
    <w:p w:rsidR="00E33BB9" w:rsidRPr="00F17EFA" w:rsidRDefault="00100E67" w:rsidP="00100E6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Bendra </w:t>
      </w:r>
      <w:r w:rsidR="001165E6">
        <w:rPr>
          <w:rFonts w:ascii="Times New Roman" w:hAnsi="Times New Roman" w:cs="Times New Roman"/>
        </w:rPr>
        <w:t>išskait</w:t>
      </w:r>
      <w:r w:rsidRPr="00F17EFA">
        <w:rPr>
          <w:rFonts w:ascii="Times New Roman" w:hAnsi="Times New Roman" w:cs="Times New Roman"/>
        </w:rPr>
        <w:t xml:space="preserve">a apskaičiuojama susumavus </w:t>
      </w:r>
      <w:r w:rsidR="001165E6">
        <w:rPr>
          <w:rFonts w:ascii="Times New Roman" w:hAnsi="Times New Roman" w:cs="Times New Roman"/>
        </w:rPr>
        <w:t>išskait</w:t>
      </w:r>
      <w:r w:rsidRPr="00F17EFA">
        <w:rPr>
          <w:rFonts w:ascii="Times New Roman" w:hAnsi="Times New Roman" w:cs="Times New Roman"/>
        </w:rPr>
        <w:t xml:space="preserve">as, skirtas už </w:t>
      </w:r>
      <w:r w:rsidR="00E33BB9" w:rsidRPr="00F17EFA">
        <w:rPr>
          <w:rFonts w:ascii="Times New Roman" w:hAnsi="Times New Roman" w:cs="Times New Roman"/>
        </w:rPr>
        <w:t xml:space="preserve">pažeidimus </w:t>
      </w:r>
      <w:r w:rsidRPr="00F17EFA">
        <w:rPr>
          <w:rFonts w:ascii="Times New Roman" w:hAnsi="Times New Roman" w:cs="Times New Roman"/>
        </w:rPr>
        <w:t xml:space="preserve">pagal formulę: </w:t>
      </w:r>
    </w:p>
    <w:p w:rsidR="00E33BB9" w:rsidRPr="00F17EFA" w:rsidRDefault="003C12D0" w:rsidP="00E33BB9">
      <w:pPr>
        <w:jc w:val="center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  <w:i/>
        </w:rPr>
        <w:t>T</w:t>
      </w:r>
      <w:r w:rsidR="00100E67" w:rsidRPr="00F17EFA">
        <w:rPr>
          <w:rFonts w:ascii="Times New Roman" w:hAnsi="Times New Roman" w:cs="Times New Roman"/>
        </w:rPr>
        <w:t xml:space="preserve"> = </w:t>
      </w:r>
      <w:r w:rsidR="00421FFF" w:rsidRPr="00F17EFA">
        <w:rPr>
          <w:rFonts w:ascii="Times New Roman" w:hAnsi="Times New Roman" w:cs="Times New Roman"/>
          <w:i/>
        </w:rPr>
        <w:t>VTB</w:t>
      </w:r>
      <w:r w:rsidR="00BF6739" w:rsidRPr="00F17EFA">
        <w:rPr>
          <w:rFonts w:ascii="Times New Roman" w:hAnsi="Times New Roman" w:cs="Times New Roman"/>
        </w:rPr>
        <w:t xml:space="preserve"> +</w:t>
      </w:r>
      <w:r w:rsidR="00BF6739" w:rsidRPr="00F17EFA">
        <w:rPr>
          <w:rFonts w:ascii="Times New Roman" w:hAnsi="Times New Roman" w:cs="Times New Roman"/>
          <w:i/>
        </w:rPr>
        <w:t>P</w:t>
      </w:r>
      <w:r w:rsidR="0096140F" w:rsidRPr="00F17EFA">
        <w:rPr>
          <w:rFonts w:ascii="Times New Roman" w:hAnsi="Times New Roman" w:cs="Times New Roman"/>
          <w:i/>
        </w:rPr>
        <w:t>N</w:t>
      </w:r>
      <w:r w:rsidR="00421FFF" w:rsidRPr="00F17EFA">
        <w:rPr>
          <w:rFonts w:ascii="Times New Roman" w:hAnsi="Times New Roman" w:cs="Times New Roman"/>
          <w:i/>
        </w:rPr>
        <w:t>B</w:t>
      </w:r>
      <w:r w:rsidR="00414E14" w:rsidRPr="00F17EFA">
        <w:rPr>
          <w:rFonts w:ascii="Times New Roman" w:hAnsi="Times New Roman" w:cs="Times New Roman"/>
          <w:i/>
        </w:rPr>
        <w:t xml:space="preserve"> + </w:t>
      </w:r>
      <w:r w:rsidR="000B0BC6" w:rsidRPr="00F17EFA">
        <w:rPr>
          <w:rFonts w:ascii="Times New Roman" w:hAnsi="Times New Roman" w:cs="Times New Roman"/>
          <w:i/>
        </w:rPr>
        <w:t xml:space="preserve">RRB + </w:t>
      </w:r>
      <w:r w:rsidR="00A13527" w:rsidRPr="00F17EFA">
        <w:rPr>
          <w:rFonts w:ascii="Times New Roman" w:hAnsi="Times New Roman" w:cs="Times New Roman"/>
          <w:i/>
        </w:rPr>
        <w:t xml:space="preserve">ANB + </w:t>
      </w:r>
      <w:r w:rsidR="00414E14" w:rsidRPr="00F17EFA">
        <w:rPr>
          <w:rFonts w:ascii="Times New Roman" w:hAnsi="Times New Roman" w:cs="Times New Roman"/>
          <w:i/>
        </w:rPr>
        <w:t>PM</w:t>
      </w:r>
      <w:r w:rsidR="004A6CD8" w:rsidRPr="00F17EFA">
        <w:rPr>
          <w:rFonts w:ascii="Times New Roman" w:hAnsi="Times New Roman" w:cs="Times New Roman"/>
          <w:i/>
        </w:rPr>
        <w:t>B</w:t>
      </w:r>
      <w:r w:rsidR="00100E67" w:rsidRPr="00F17EFA">
        <w:rPr>
          <w:rFonts w:ascii="Times New Roman" w:hAnsi="Times New Roman" w:cs="Times New Roman"/>
        </w:rPr>
        <w:t xml:space="preserve"> (1)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33BB9" w:rsidRPr="00AB127A" w:rsidTr="0017330F">
        <w:tc>
          <w:tcPr>
            <w:tcW w:w="3227" w:type="dxa"/>
          </w:tcPr>
          <w:p w:rsidR="00E33BB9" w:rsidRPr="00F17EFA" w:rsidRDefault="00E33BB9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E33BB9" w:rsidRPr="00F17EFA" w:rsidRDefault="003C12D0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T</w:t>
            </w:r>
          </w:p>
          <w:p w:rsidR="00E33BB9" w:rsidRPr="00F17EFA" w:rsidRDefault="00421FFF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VTB</w:t>
            </w:r>
          </w:p>
          <w:p w:rsidR="00E33BB9" w:rsidRPr="00F17EFA" w:rsidRDefault="00BF673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P</w:t>
            </w:r>
            <w:r w:rsidR="00E33BB9" w:rsidRPr="00F17EFA">
              <w:rPr>
                <w:rFonts w:ascii="Times New Roman" w:hAnsi="Times New Roman" w:cs="Times New Roman"/>
                <w:i/>
              </w:rPr>
              <w:t>N</w:t>
            </w:r>
            <w:r w:rsidR="00421FFF" w:rsidRPr="00F17EFA">
              <w:rPr>
                <w:rFonts w:ascii="Times New Roman" w:hAnsi="Times New Roman" w:cs="Times New Roman"/>
                <w:i/>
              </w:rPr>
              <w:t>B</w:t>
            </w:r>
          </w:p>
          <w:p w:rsidR="000B0BC6" w:rsidRPr="00F17EFA" w:rsidRDefault="000B0BC6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RRB</w:t>
            </w:r>
          </w:p>
          <w:p w:rsidR="00A13527" w:rsidRPr="00F17EFA" w:rsidRDefault="00A13527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ANB</w:t>
            </w:r>
          </w:p>
          <w:p w:rsidR="00414E14" w:rsidRPr="00F17EFA" w:rsidRDefault="00414E14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  <w:i/>
              </w:rPr>
              <w:t>PM</w:t>
            </w:r>
            <w:r w:rsidR="004A6CD8" w:rsidRPr="00F17EFA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6627" w:type="dxa"/>
          </w:tcPr>
          <w:p w:rsidR="00E33BB9" w:rsidRPr="00F17EFA" w:rsidRDefault="00E33BB9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E33BB9" w:rsidRPr="00F17EFA" w:rsidRDefault="00E33BB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Bendra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 xml:space="preserve">a, kurią privalo sumokėti </w:t>
            </w:r>
            <w:r w:rsidR="00B02EBC">
              <w:rPr>
                <w:rFonts w:ascii="Times New Roman" w:hAnsi="Times New Roman" w:cs="Times New Roman"/>
              </w:rPr>
              <w:t>Projekto bendrovė</w:t>
            </w:r>
          </w:p>
          <w:p w:rsidR="00E33BB9" w:rsidRPr="00F17EFA" w:rsidRDefault="00E33BB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Veiklos </w:t>
            </w:r>
            <w:r w:rsidR="009C07FC" w:rsidRPr="00F17EFA">
              <w:rPr>
                <w:rFonts w:ascii="Times New Roman" w:hAnsi="Times New Roman" w:cs="Times New Roman"/>
              </w:rPr>
              <w:t>trūkumų</w:t>
            </w:r>
            <w:r w:rsidRPr="00F17EFA">
              <w:rPr>
                <w:rFonts w:ascii="Times New Roman" w:hAnsi="Times New Roman" w:cs="Times New Roman"/>
              </w:rPr>
              <w:t xml:space="preserve"> pažeidimų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>a</w:t>
            </w:r>
          </w:p>
          <w:p w:rsidR="000C4E40" w:rsidRPr="00F17EFA" w:rsidRDefault="000C4E40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Paslaugų neprieinamumo pažeidimų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>a</w:t>
            </w:r>
          </w:p>
          <w:p w:rsidR="000B0BC6" w:rsidRPr="00F17EFA" w:rsidRDefault="000B0BC6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Renginio režimo pažeidimų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>a</w:t>
            </w:r>
          </w:p>
          <w:p w:rsidR="00A13527" w:rsidRPr="00F17EFA" w:rsidRDefault="007E540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Kapitalinės priežiūros </w:t>
            </w:r>
            <w:r w:rsidR="00A13527" w:rsidRPr="00F17EFA">
              <w:rPr>
                <w:rFonts w:ascii="Times New Roman" w:hAnsi="Times New Roman" w:cs="Times New Roman"/>
              </w:rPr>
              <w:t xml:space="preserve">darbų pažeidimų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="00A13527" w:rsidRPr="00F17EFA">
              <w:rPr>
                <w:rFonts w:ascii="Times New Roman" w:hAnsi="Times New Roman" w:cs="Times New Roman"/>
              </w:rPr>
              <w:t>a</w:t>
            </w:r>
          </w:p>
          <w:p w:rsidR="00414E14" w:rsidRPr="00F17EFA" w:rsidRDefault="00414E14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Praėjusio mėnesio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 xml:space="preserve">os </w:t>
            </w:r>
            <w:r w:rsidR="004A6CD8" w:rsidRPr="00F17EFA">
              <w:rPr>
                <w:rFonts w:ascii="Times New Roman" w:hAnsi="Times New Roman" w:cs="Times New Roman"/>
              </w:rPr>
              <w:t>perkelta</w:t>
            </w:r>
            <w:r w:rsidRPr="00F17EFA">
              <w:rPr>
                <w:rFonts w:ascii="Times New Roman" w:hAnsi="Times New Roman" w:cs="Times New Roman"/>
              </w:rPr>
              <w:t xml:space="preserve"> suma</w:t>
            </w:r>
            <w:r w:rsidR="004A6CD8" w:rsidRPr="00F17EFA">
              <w:rPr>
                <w:rFonts w:ascii="Times New Roman" w:hAnsi="Times New Roman" w:cs="Times New Roman"/>
              </w:rPr>
              <w:t xml:space="preserve"> į šį ataskaitinį laiko</w:t>
            </w:r>
            <w:r w:rsidR="008B124B" w:rsidRPr="00F17EFA">
              <w:rPr>
                <w:rFonts w:ascii="Times New Roman" w:hAnsi="Times New Roman" w:cs="Times New Roman"/>
              </w:rPr>
              <w:t>tar</w:t>
            </w:r>
            <w:r w:rsidR="004A6CD8" w:rsidRPr="00F17EFA">
              <w:rPr>
                <w:rFonts w:ascii="Times New Roman" w:hAnsi="Times New Roman" w:cs="Times New Roman"/>
              </w:rPr>
              <w:t>pį</w:t>
            </w:r>
          </w:p>
        </w:tc>
      </w:tr>
    </w:tbl>
    <w:p w:rsidR="00E33BB9" w:rsidRPr="00F17EFA" w:rsidRDefault="00E33BB9" w:rsidP="00E33BB9">
      <w:pPr>
        <w:jc w:val="center"/>
        <w:rPr>
          <w:rFonts w:ascii="Times New Roman" w:hAnsi="Times New Roman" w:cs="Times New Roman"/>
        </w:rPr>
      </w:pPr>
    </w:p>
    <w:p w:rsidR="00530322" w:rsidRPr="00F17EFA" w:rsidRDefault="00297DD9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Išskirtiniais atvejais, kai</w:t>
      </w:r>
      <w:r w:rsidR="00530322" w:rsidRPr="00F17EFA">
        <w:rPr>
          <w:rFonts w:ascii="Times New Roman" w:hAnsi="Times New Roman" w:cs="Times New Roman"/>
        </w:rPr>
        <w:t xml:space="preserve"> pažeidimas gali būti priskiriamas dviem ar daugiau pažeidimų kategorijoms (</w:t>
      </w:r>
      <w:r w:rsidRPr="00F17EFA">
        <w:rPr>
          <w:rFonts w:ascii="Times New Roman" w:hAnsi="Times New Roman" w:cs="Times New Roman"/>
        </w:rPr>
        <w:t>nurodytoms</w:t>
      </w:r>
      <w:r w:rsidR="00530322" w:rsidRPr="00F17EFA">
        <w:rPr>
          <w:rFonts w:ascii="Times New Roman" w:hAnsi="Times New Roman" w:cs="Times New Roman"/>
        </w:rPr>
        <w:t xml:space="preserve"> </w:t>
      </w:r>
      <w:r w:rsidR="00530322" w:rsidRPr="001165E6">
        <w:rPr>
          <w:rFonts w:ascii="Times New Roman" w:hAnsi="Times New Roman" w:cs="Times New Roman"/>
        </w:rPr>
        <w:t>3 punkte</w:t>
      </w:r>
      <w:r w:rsidR="00530322" w:rsidRPr="00F17EFA">
        <w:rPr>
          <w:rFonts w:ascii="Times New Roman" w:hAnsi="Times New Roman" w:cs="Times New Roman"/>
        </w:rPr>
        <w:t xml:space="preserve">), </w:t>
      </w:r>
      <w:r w:rsidRPr="00F17EFA">
        <w:rPr>
          <w:rFonts w:ascii="Times New Roman" w:hAnsi="Times New Roman" w:cs="Times New Roman"/>
        </w:rPr>
        <w:t>pažeidimas yra priskiriamas</w:t>
      </w:r>
      <w:r w:rsidR="00530322" w:rsidRPr="00F17EFA">
        <w:rPr>
          <w:rFonts w:ascii="Times New Roman" w:hAnsi="Times New Roman" w:cs="Times New Roman"/>
        </w:rPr>
        <w:t xml:space="preserve"> kategorijai kurioje </w:t>
      </w:r>
      <w:r w:rsidR="002F1415" w:rsidRPr="00F17EFA">
        <w:rPr>
          <w:rFonts w:ascii="Times New Roman" w:hAnsi="Times New Roman" w:cs="Times New Roman"/>
        </w:rPr>
        <w:t xml:space="preserve">lemtų </w:t>
      </w:r>
      <w:r w:rsidR="00530322" w:rsidRPr="00F17EFA">
        <w:rPr>
          <w:rFonts w:ascii="Times New Roman" w:hAnsi="Times New Roman" w:cs="Times New Roman"/>
        </w:rPr>
        <w:t xml:space="preserve">didesnės vertės pažeidimo </w:t>
      </w:r>
      <w:r w:rsidR="001165E6">
        <w:rPr>
          <w:rFonts w:ascii="Times New Roman" w:hAnsi="Times New Roman" w:cs="Times New Roman"/>
        </w:rPr>
        <w:t>išskait</w:t>
      </w:r>
      <w:r w:rsidR="00530322" w:rsidRPr="00F17EFA">
        <w:rPr>
          <w:rFonts w:ascii="Times New Roman" w:hAnsi="Times New Roman" w:cs="Times New Roman"/>
        </w:rPr>
        <w:t>ą.</w:t>
      </w:r>
    </w:p>
    <w:p w:rsidR="00617100" w:rsidRPr="00F17EFA" w:rsidRDefault="00B02EBC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2" w:name="_Ref442075159"/>
      <w:r>
        <w:rPr>
          <w:rFonts w:ascii="Times New Roman" w:hAnsi="Times New Roman" w:cs="Times New Roman"/>
        </w:rPr>
        <w:lastRenderedPageBreak/>
        <w:t>Projekto bendrovės</w:t>
      </w:r>
      <w:r w:rsidR="00414E14" w:rsidRPr="00F17EFA">
        <w:rPr>
          <w:rFonts w:ascii="Times New Roman" w:hAnsi="Times New Roman" w:cs="Times New Roman"/>
        </w:rPr>
        <w:t xml:space="preserve"> </w:t>
      </w:r>
      <w:r w:rsidR="00100E67" w:rsidRPr="00F17EFA">
        <w:rPr>
          <w:rFonts w:ascii="Times New Roman" w:hAnsi="Times New Roman" w:cs="Times New Roman"/>
        </w:rPr>
        <w:t xml:space="preserve">pajamos yra vertinamos kaip </w:t>
      </w:r>
      <w:r w:rsidR="00896A98">
        <w:rPr>
          <w:rFonts w:ascii="Times New Roman" w:hAnsi="Times New Roman" w:cs="Times New Roman"/>
        </w:rPr>
        <w:t>S</w:t>
      </w:r>
      <w:r w:rsidR="00100E67" w:rsidRPr="00F17EFA">
        <w:rPr>
          <w:rFonts w:ascii="Times New Roman" w:hAnsi="Times New Roman" w:cs="Times New Roman"/>
        </w:rPr>
        <w:t xml:space="preserve">utarties vykdymo </w:t>
      </w:r>
      <w:r w:rsidR="005125FE" w:rsidRPr="00F17EFA">
        <w:rPr>
          <w:rFonts w:ascii="Times New Roman" w:hAnsi="Times New Roman" w:cs="Times New Roman"/>
        </w:rPr>
        <w:t xml:space="preserve">einamųjų </w:t>
      </w:r>
      <w:r w:rsidR="00C718D2" w:rsidRPr="00F17EFA">
        <w:rPr>
          <w:rFonts w:ascii="Times New Roman" w:hAnsi="Times New Roman" w:cs="Times New Roman"/>
        </w:rPr>
        <w:t>metų</w:t>
      </w:r>
      <w:r w:rsidR="00414E14" w:rsidRPr="00F17EFA">
        <w:rPr>
          <w:rFonts w:ascii="Times New Roman" w:hAnsi="Times New Roman" w:cs="Times New Roman"/>
        </w:rPr>
        <w:t xml:space="preserve"> nustatytos</w:t>
      </w:r>
      <w:r w:rsidR="00100E67" w:rsidRPr="00F17EFA">
        <w:rPr>
          <w:rFonts w:ascii="Times New Roman" w:hAnsi="Times New Roman" w:cs="Times New Roman"/>
        </w:rPr>
        <w:t xml:space="preserve"> pajamos</w:t>
      </w:r>
      <w:r w:rsidR="00CE54C2" w:rsidRPr="00F17EFA">
        <w:rPr>
          <w:rFonts w:ascii="Times New Roman" w:hAnsi="Times New Roman" w:cs="Times New Roman"/>
        </w:rPr>
        <w:t xml:space="preserve"> </w:t>
      </w:r>
      <w:r w:rsidR="00100E67" w:rsidRPr="00F17EFA">
        <w:rPr>
          <w:rFonts w:ascii="Times New Roman" w:hAnsi="Times New Roman" w:cs="Times New Roman"/>
        </w:rPr>
        <w:t>už Paslaugų teikimą (atsiskaitymus).</w:t>
      </w:r>
      <w:bookmarkEnd w:id="2"/>
      <w:r w:rsidR="00100E67" w:rsidRPr="00F17EFA">
        <w:rPr>
          <w:rFonts w:ascii="Times New Roman" w:hAnsi="Times New Roman" w:cs="Times New Roman"/>
        </w:rPr>
        <w:t xml:space="preserve"> </w:t>
      </w:r>
    </w:p>
    <w:p w:rsidR="00CF6681" w:rsidRPr="00F17EFA" w:rsidRDefault="00CF6681" w:rsidP="00432E7B">
      <w:pPr>
        <w:rPr>
          <w:rFonts w:ascii="Times New Roman" w:hAnsi="Times New Roman" w:cs="Times New Roman"/>
        </w:rPr>
      </w:pPr>
    </w:p>
    <w:p w:rsidR="00100E67" w:rsidRPr="00FA03A5" w:rsidRDefault="00E954BF" w:rsidP="0060239F">
      <w:pPr>
        <w:pStyle w:val="Sraopastraipa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iCs/>
          <w:smallCaps/>
        </w:rPr>
      </w:pPr>
      <w:r w:rsidRPr="00FA03A5">
        <w:rPr>
          <w:rFonts w:ascii="Times New Roman" w:eastAsia="Times New Roman" w:hAnsi="Times New Roman" w:cs="Times New Roman"/>
          <w:b/>
          <w:iCs/>
          <w:smallCaps/>
        </w:rPr>
        <w:t xml:space="preserve">VEIKLOS </w:t>
      </w:r>
      <w:r w:rsidR="009C07FC" w:rsidRPr="00FA03A5">
        <w:rPr>
          <w:rFonts w:ascii="Times New Roman" w:eastAsia="Times New Roman" w:hAnsi="Times New Roman" w:cs="Times New Roman"/>
          <w:b/>
          <w:iCs/>
          <w:smallCaps/>
        </w:rPr>
        <w:t>TRŪKUMŲ</w:t>
      </w:r>
      <w:r w:rsidRPr="00FA03A5">
        <w:rPr>
          <w:rFonts w:ascii="Times New Roman" w:eastAsia="Times New Roman" w:hAnsi="Times New Roman" w:cs="Times New Roman"/>
          <w:b/>
          <w:iCs/>
          <w:smallCaps/>
        </w:rPr>
        <w:t xml:space="preserve"> PAŽEIDIMŲ</w:t>
      </w:r>
      <w:r w:rsidR="00100E67" w:rsidRPr="00FA03A5">
        <w:rPr>
          <w:rFonts w:ascii="Times New Roman" w:eastAsia="Times New Roman" w:hAnsi="Times New Roman" w:cs="Times New Roman"/>
          <w:b/>
          <w:iCs/>
          <w:smallCaps/>
        </w:rPr>
        <w:t xml:space="preserve"> </w:t>
      </w:r>
      <w:r w:rsidR="001165E6" w:rsidRPr="00FA03A5">
        <w:rPr>
          <w:rFonts w:ascii="Times New Roman" w:eastAsia="Times New Roman" w:hAnsi="Times New Roman" w:cs="Times New Roman"/>
          <w:b/>
          <w:iCs/>
          <w:smallCaps/>
        </w:rPr>
        <w:t>IŠSKAIT</w:t>
      </w:r>
      <w:r w:rsidR="00100E67" w:rsidRPr="00FA03A5">
        <w:rPr>
          <w:rFonts w:ascii="Times New Roman" w:eastAsia="Times New Roman" w:hAnsi="Times New Roman" w:cs="Times New Roman"/>
          <w:b/>
          <w:iCs/>
          <w:smallCaps/>
        </w:rPr>
        <w:t>A (</w:t>
      </w:r>
      <w:r w:rsidRPr="00FA03A5">
        <w:rPr>
          <w:rFonts w:ascii="Times New Roman" w:eastAsia="Times New Roman" w:hAnsi="Times New Roman" w:cs="Times New Roman"/>
          <w:b/>
          <w:iCs/>
          <w:smallCaps/>
        </w:rPr>
        <w:t>VTB</w:t>
      </w:r>
      <w:r w:rsidR="00100E67" w:rsidRPr="00FA03A5">
        <w:rPr>
          <w:rFonts w:ascii="Times New Roman" w:eastAsia="Times New Roman" w:hAnsi="Times New Roman" w:cs="Times New Roman"/>
          <w:b/>
          <w:iCs/>
          <w:smallCaps/>
        </w:rPr>
        <w:t>)</w:t>
      </w:r>
    </w:p>
    <w:p w:rsidR="00286E32" w:rsidRPr="00AB127A" w:rsidRDefault="00286E32" w:rsidP="00AE7E7E">
      <w:pPr>
        <w:rPr>
          <w:rFonts w:ascii="Times New Roman" w:eastAsia="Times New Roman" w:hAnsi="Times New Roman" w:cs="Times New Roman"/>
          <w:b/>
          <w:iCs/>
          <w:smallCaps/>
          <w:color w:val="632423"/>
        </w:rPr>
      </w:pPr>
    </w:p>
    <w:p w:rsidR="00D76E56" w:rsidRPr="00F17EFA" w:rsidRDefault="00D76E56" w:rsidP="00AE7E7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Už  kiekvieną įvykusį </w:t>
      </w:r>
      <w:r w:rsidR="00896A98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pažeidimą yra skaičiuojami </w:t>
      </w:r>
      <w:r w:rsidR="00896A98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trūkumų pažeidimo procentai [VTPP]. VTPP nustatyti Specifikacijų </w:t>
      </w:r>
      <w:r w:rsidR="00896A98">
        <w:rPr>
          <w:rFonts w:ascii="Times New Roman" w:hAnsi="Times New Roman" w:cs="Times New Roman"/>
        </w:rPr>
        <w:t>1 priede</w:t>
      </w:r>
      <w:r w:rsidRPr="00F17EFA">
        <w:rPr>
          <w:rFonts w:ascii="Times New Roman" w:hAnsi="Times New Roman" w:cs="Times New Roman"/>
        </w:rPr>
        <w:t xml:space="preserve"> prie konkretaus </w:t>
      </w:r>
      <w:r w:rsidR="00896A98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pažeidimo. </w:t>
      </w:r>
      <w:r w:rsidR="00F82280" w:rsidRPr="00F17EFA">
        <w:rPr>
          <w:rFonts w:ascii="Times New Roman" w:hAnsi="Times New Roman" w:cs="Times New Roman"/>
        </w:rPr>
        <w:t>VTPP</w:t>
      </w:r>
      <w:r w:rsidRPr="00F17EFA">
        <w:rPr>
          <w:rFonts w:ascii="Times New Roman" w:hAnsi="Times New Roman" w:cs="Times New Roman"/>
        </w:rPr>
        <w:t xml:space="preserve"> skaičiuojami tuo atveju, kai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 neįvykdo Specifikacijose nustatytų reikalavimų. Veiklos  pažeidimai ir  už juos skiriam</w:t>
      </w:r>
      <w:r w:rsidR="00F82280" w:rsidRPr="00F17EFA">
        <w:rPr>
          <w:rFonts w:ascii="Times New Roman" w:hAnsi="Times New Roman" w:cs="Times New Roman"/>
        </w:rPr>
        <w:t>i</w:t>
      </w:r>
      <w:r w:rsidRPr="00F17EFA">
        <w:rPr>
          <w:rFonts w:ascii="Times New Roman" w:hAnsi="Times New Roman" w:cs="Times New Roman"/>
        </w:rPr>
        <w:t xml:space="preserve"> VT</w:t>
      </w:r>
      <w:r w:rsidR="00F82280" w:rsidRPr="00F17EFA">
        <w:rPr>
          <w:rFonts w:ascii="Times New Roman" w:hAnsi="Times New Roman" w:cs="Times New Roman"/>
        </w:rPr>
        <w:t>PP</w:t>
      </w:r>
      <w:r w:rsidRPr="00F17EFA">
        <w:rPr>
          <w:rFonts w:ascii="Times New Roman" w:hAnsi="Times New Roman" w:cs="Times New Roman"/>
        </w:rPr>
        <w:t xml:space="preserve"> skaičiuojam</w:t>
      </w:r>
      <w:r w:rsidR="00F82280" w:rsidRPr="00F17EFA">
        <w:rPr>
          <w:rFonts w:ascii="Times New Roman" w:hAnsi="Times New Roman" w:cs="Times New Roman"/>
        </w:rPr>
        <w:t>i</w:t>
      </w:r>
      <w:r w:rsidRPr="00F17EFA">
        <w:rPr>
          <w:rFonts w:ascii="Times New Roman" w:hAnsi="Times New Roman" w:cs="Times New Roman"/>
        </w:rPr>
        <w:t xml:space="preserve"> už tą </w:t>
      </w:r>
      <w:r w:rsidR="00896A98">
        <w:rPr>
          <w:rFonts w:ascii="Times New Roman" w:hAnsi="Times New Roman" w:cs="Times New Roman"/>
        </w:rPr>
        <w:t>a</w:t>
      </w:r>
      <w:r w:rsidRPr="00F17EFA">
        <w:rPr>
          <w:rFonts w:ascii="Times New Roman" w:hAnsi="Times New Roman" w:cs="Times New Roman"/>
        </w:rPr>
        <w:t xml:space="preserve">taskaitinį laikotarpį, kurio metu tokie pažeidimai yra užfiksuoti vadovaujantis Specifikacijomis ir </w:t>
      </w:r>
      <w:r w:rsidR="00896A98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 xml:space="preserve">utartimi, nesvarbu, kada tokie pažeidimai </w:t>
      </w:r>
      <w:r w:rsidR="00896A98">
        <w:rPr>
          <w:rFonts w:ascii="Times New Roman" w:hAnsi="Times New Roman" w:cs="Times New Roman"/>
        </w:rPr>
        <w:t>padaryti</w:t>
      </w:r>
      <w:r w:rsidRPr="00F17EFA">
        <w:rPr>
          <w:rFonts w:ascii="Times New Roman" w:hAnsi="Times New Roman" w:cs="Times New Roman"/>
        </w:rPr>
        <w:t xml:space="preserve">.  </w:t>
      </w:r>
    </w:p>
    <w:p w:rsidR="00043EEC" w:rsidRPr="00F17EFA" w:rsidRDefault="00043EEC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VT</w:t>
      </w:r>
      <w:r w:rsidR="00421FFF" w:rsidRPr="00F17EFA">
        <w:rPr>
          <w:rFonts w:ascii="Times New Roman" w:hAnsi="Times New Roman" w:cs="Times New Roman"/>
        </w:rPr>
        <w:t>B</w:t>
      </w:r>
      <w:r w:rsidR="00100E67" w:rsidRPr="00F17EFA">
        <w:rPr>
          <w:rFonts w:ascii="Times New Roman" w:hAnsi="Times New Roman" w:cs="Times New Roman"/>
        </w:rPr>
        <w:t xml:space="preserve"> yra apskaičiuota konkreti suma, kurią privalo sumokėti </w:t>
      </w:r>
      <w:r w:rsidR="00B02EBC">
        <w:rPr>
          <w:rFonts w:ascii="Times New Roman" w:hAnsi="Times New Roman" w:cs="Times New Roman"/>
        </w:rPr>
        <w:t>Projekto bendrovė</w:t>
      </w:r>
      <w:r w:rsidR="00100E67" w:rsidRPr="00F17EFA">
        <w:rPr>
          <w:rFonts w:ascii="Times New Roman" w:hAnsi="Times New Roman" w:cs="Times New Roman"/>
        </w:rPr>
        <w:t xml:space="preserve">. </w:t>
      </w:r>
    </w:p>
    <w:p w:rsidR="0017330F" w:rsidRPr="00F17EFA" w:rsidRDefault="00BF6739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VT</w:t>
      </w:r>
      <w:r w:rsidR="00421FFF" w:rsidRPr="00F17EFA">
        <w:rPr>
          <w:rFonts w:ascii="Times New Roman" w:hAnsi="Times New Roman" w:cs="Times New Roman"/>
        </w:rPr>
        <w:t>B</w:t>
      </w:r>
      <w:r w:rsidR="00100E67" w:rsidRPr="00F17EFA">
        <w:rPr>
          <w:rFonts w:ascii="Times New Roman" w:hAnsi="Times New Roman" w:cs="Times New Roman"/>
        </w:rPr>
        <w:t xml:space="preserve"> apskaičiuojama pagal formulę: </w:t>
      </w:r>
    </w:p>
    <w:p w:rsidR="00100E67" w:rsidRPr="00F17EFA" w:rsidRDefault="00421FFF" w:rsidP="0017330F">
      <w:pPr>
        <w:jc w:val="center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  <w:i/>
        </w:rPr>
        <w:t>VTB</w:t>
      </w:r>
      <w:r w:rsidR="00100E67" w:rsidRPr="00F17EFA">
        <w:rPr>
          <w:rFonts w:ascii="Times New Roman" w:hAnsi="Times New Roman" w:cs="Times New Roman"/>
        </w:rPr>
        <w:t xml:space="preserve"> = </w:t>
      </w:r>
      <w:r w:rsidR="00100E67" w:rsidRPr="00F17EFA">
        <w:rPr>
          <w:rFonts w:ascii="Cambria Math" w:hAnsi="Cambria Math" w:cs="Cambria Math"/>
        </w:rPr>
        <w:t>𝐾𝑉𝑃</w:t>
      </w:r>
      <w:r w:rsidR="00100E67" w:rsidRPr="00F17EFA">
        <w:rPr>
          <w:rFonts w:ascii="Times New Roman" w:hAnsi="Times New Roman" w:cs="Times New Roman"/>
        </w:rPr>
        <w:t xml:space="preserve"> × </w:t>
      </w:r>
      <w:r w:rsidR="00BF6739" w:rsidRPr="00F17EFA">
        <w:rPr>
          <w:rFonts w:ascii="Times New Roman" w:hAnsi="Times New Roman" w:cs="Times New Roman"/>
          <w:i/>
        </w:rPr>
        <w:t>VTP</w:t>
      </w:r>
      <w:r w:rsidR="00025303" w:rsidRPr="00F17EFA">
        <w:rPr>
          <w:rFonts w:ascii="Times New Roman" w:hAnsi="Times New Roman" w:cs="Times New Roman"/>
          <w:i/>
        </w:rPr>
        <w:t>P</w:t>
      </w:r>
      <w:r w:rsidR="00BF6739" w:rsidRPr="00F17EFA">
        <w:rPr>
          <w:rFonts w:ascii="Times New Roman" w:hAnsi="Times New Roman" w:cs="Times New Roman"/>
          <w:i/>
        </w:rPr>
        <w:t>K</w:t>
      </w:r>
      <w:r w:rsidR="00100E67" w:rsidRPr="00F17EFA">
        <w:rPr>
          <w:rFonts w:ascii="Times New Roman" w:hAnsi="Times New Roman" w:cs="Times New Roman"/>
        </w:rPr>
        <w:t xml:space="preserve"> (2)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17330F" w:rsidRPr="00AB127A" w:rsidTr="0017330F">
        <w:tc>
          <w:tcPr>
            <w:tcW w:w="3369" w:type="dxa"/>
          </w:tcPr>
          <w:p w:rsidR="0017330F" w:rsidRPr="00F17EFA" w:rsidRDefault="0017330F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17330F" w:rsidRPr="00F17EFA" w:rsidRDefault="00421FFF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VTB</w:t>
            </w:r>
          </w:p>
          <w:p w:rsidR="0017330F" w:rsidRPr="00F17EFA" w:rsidRDefault="0017330F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KVP</w:t>
            </w:r>
          </w:p>
          <w:p w:rsidR="0017330F" w:rsidRPr="00F17EFA" w:rsidRDefault="00BF673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VTP</w:t>
            </w:r>
            <w:r w:rsidR="00025303" w:rsidRPr="00F17EFA">
              <w:rPr>
                <w:rFonts w:ascii="Times New Roman" w:hAnsi="Times New Roman" w:cs="Times New Roman"/>
                <w:i/>
              </w:rPr>
              <w:t>P</w:t>
            </w:r>
            <w:r w:rsidRPr="00F17EFA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6485" w:type="dxa"/>
          </w:tcPr>
          <w:p w:rsidR="0017330F" w:rsidRPr="00F17EFA" w:rsidRDefault="0017330F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17330F" w:rsidRPr="00F17EFA" w:rsidRDefault="0017330F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Veiklos </w:t>
            </w:r>
            <w:r w:rsidR="009C07FC" w:rsidRPr="00F17EFA">
              <w:rPr>
                <w:rFonts w:ascii="Times New Roman" w:hAnsi="Times New Roman" w:cs="Times New Roman"/>
              </w:rPr>
              <w:t>trūkumų</w:t>
            </w:r>
            <w:r w:rsidRPr="00F17EFA">
              <w:rPr>
                <w:rFonts w:ascii="Times New Roman" w:hAnsi="Times New Roman" w:cs="Times New Roman"/>
              </w:rPr>
              <w:t xml:space="preserve"> pažeidimų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>a</w:t>
            </w:r>
          </w:p>
          <w:p w:rsidR="0017330F" w:rsidRPr="00F17EFA" w:rsidRDefault="00B02EBC" w:rsidP="0056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bendrovės</w:t>
            </w:r>
            <w:r w:rsidR="0017330F" w:rsidRPr="00F17EFA">
              <w:rPr>
                <w:rFonts w:ascii="Times New Roman" w:hAnsi="Times New Roman" w:cs="Times New Roman"/>
              </w:rPr>
              <w:t xml:space="preserve"> pajamos, kaip numatyta šio dokumento </w:t>
            </w:r>
            <w:r w:rsidR="00896A98">
              <w:rPr>
                <w:rFonts w:ascii="Times New Roman" w:hAnsi="Times New Roman" w:cs="Times New Roman"/>
              </w:rPr>
              <w:fldChar w:fldCharType="begin"/>
            </w:r>
            <w:r w:rsidR="00896A98">
              <w:rPr>
                <w:rFonts w:ascii="Times New Roman" w:hAnsi="Times New Roman" w:cs="Times New Roman"/>
              </w:rPr>
              <w:instrText xml:space="preserve"> REF _Ref442075159 \r \h </w:instrText>
            </w:r>
            <w:r w:rsidR="00896A98">
              <w:rPr>
                <w:rFonts w:ascii="Times New Roman" w:hAnsi="Times New Roman" w:cs="Times New Roman"/>
              </w:rPr>
            </w:r>
            <w:r w:rsidR="00896A98">
              <w:rPr>
                <w:rFonts w:ascii="Times New Roman" w:hAnsi="Times New Roman" w:cs="Times New Roman"/>
              </w:rPr>
              <w:fldChar w:fldCharType="separate"/>
            </w:r>
            <w:r w:rsidR="00896A98">
              <w:rPr>
                <w:rFonts w:ascii="Times New Roman" w:hAnsi="Times New Roman" w:cs="Times New Roman"/>
              </w:rPr>
              <w:t>6</w:t>
            </w:r>
            <w:r w:rsidR="00896A98">
              <w:rPr>
                <w:rFonts w:ascii="Times New Roman" w:hAnsi="Times New Roman" w:cs="Times New Roman"/>
              </w:rPr>
              <w:fldChar w:fldCharType="end"/>
            </w:r>
            <w:r w:rsidR="0017330F" w:rsidRPr="00FA03A5">
              <w:rPr>
                <w:rFonts w:ascii="Times New Roman" w:hAnsi="Times New Roman" w:cs="Times New Roman"/>
              </w:rPr>
              <w:t xml:space="preserve"> punkte</w:t>
            </w:r>
          </w:p>
          <w:p w:rsidR="0017330F" w:rsidRPr="00F17EFA" w:rsidRDefault="00BF673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Veiklos </w:t>
            </w:r>
            <w:r w:rsidR="009C07FC" w:rsidRPr="00F17EFA">
              <w:rPr>
                <w:rFonts w:ascii="Times New Roman" w:hAnsi="Times New Roman" w:cs="Times New Roman"/>
              </w:rPr>
              <w:t>trūkumų</w:t>
            </w:r>
            <w:r w:rsidR="0017330F" w:rsidRPr="00F17EFA">
              <w:rPr>
                <w:rFonts w:ascii="Times New Roman" w:hAnsi="Times New Roman" w:cs="Times New Roman"/>
              </w:rPr>
              <w:t xml:space="preserve"> pažeidimo</w:t>
            </w:r>
            <w:r w:rsidR="00597D92" w:rsidRPr="00F17EFA">
              <w:rPr>
                <w:rFonts w:ascii="Times New Roman" w:hAnsi="Times New Roman" w:cs="Times New Roman"/>
              </w:rPr>
              <w:t xml:space="preserve"> procentinis</w:t>
            </w:r>
            <w:r w:rsidR="0017330F" w:rsidRPr="00F17EFA">
              <w:rPr>
                <w:rFonts w:ascii="Times New Roman" w:hAnsi="Times New Roman" w:cs="Times New Roman"/>
              </w:rPr>
              <w:t xml:space="preserve"> koeficientas </w:t>
            </w:r>
          </w:p>
        </w:tc>
      </w:tr>
    </w:tbl>
    <w:p w:rsidR="0017330F" w:rsidRPr="00F17EFA" w:rsidRDefault="0017330F" w:rsidP="00100E67">
      <w:pPr>
        <w:rPr>
          <w:rFonts w:ascii="Times New Roman" w:hAnsi="Times New Roman" w:cs="Times New Roman"/>
        </w:rPr>
      </w:pPr>
    </w:p>
    <w:p w:rsidR="0017330F" w:rsidRPr="00F17EFA" w:rsidRDefault="00421FFF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VTB</w:t>
      </w:r>
      <w:r w:rsidR="00100E67" w:rsidRPr="00F17EFA">
        <w:rPr>
          <w:rFonts w:ascii="Times New Roman" w:hAnsi="Times New Roman" w:cs="Times New Roman"/>
        </w:rPr>
        <w:t xml:space="preserve"> apskaičiavimo tvarka:</w:t>
      </w:r>
    </w:p>
    <w:p w:rsidR="007E23E3" w:rsidRPr="00F17EFA" w:rsidRDefault="007E23E3" w:rsidP="00AE7E7E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Pirmiausia suskaičiuojama, kiek VTPP yra surinkta per atitinkamą </w:t>
      </w:r>
      <w:r w:rsidR="00896A98">
        <w:rPr>
          <w:rFonts w:ascii="Times New Roman" w:hAnsi="Times New Roman" w:cs="Times New Roman"/>
        </w:rPr>
        <w:t>a</w:t>
      </w:r>
      <w:r w:rsidRPr="00F17EFA">
        <w:rPr>
          <w:rFonts w:ascii="Times New Roman" w:hAnsi="Times New Roman" w:cs="Times New Roman"/>
        </w:rPr>
        <w:t xml:space="preserve">taskaitinį laikotarpį. VTPP už konkretų </w:t>
      </w:r>
      <w:r w:rsidR="00896A98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 xml:space="preserve">pecifikacijose nustatyto reikalavimo pažeidimą </w:t>
      </w:r>
      <w:r w:rsidR="004A6302">
        <w:rPr>
          <w:rFonts w:ascii="Times New Roman" w:hAnsi="Times New Roman" w:cs="Times New Roman"/>
        </w:rPr>
        <w:t xml:space="preserve">yra </w:t>
      </w:r>
      <w:r w:rsidRPr="00F17EFA">
        <w:rPr>
          <w:rFonts w:ascii="Times New Roman" w:hAnsi="Times New Roman" w:cs="Times New Roman"/>
        </w:rPr>
        <w:t xml:space="preserve">apibrėžti </w:t>
      </w:r>
      <w:r w:rsidRPr="00FA03A5">
        <w:rPr>
          <w:rFonts w:ascii="Times New Roman" w:hAnsi="Times New Roman" w:cs="Times New Roman"/>
        </w:rPr>
        <w:t xml:space="preserve">Specifikacijų </w:t>
      </w:r>
      <w:r w:rsidR="00896A98" w:rsidRPr="00FA03A5">
        <w:rPr>
          <w:rFonts w:ascii="Times New Roman" w:hAnsi="Times New Roman" w:cs="Times New Roman"/>
        </w:rPr>
        <w:t xml:space="preserve">1 </w:t>
      </w:r>
      <w:r w:rsidR="00EF130D" w:rsidRPr="00FA03A5">
        <w:rPr>
          <w:rFonts w:ascii="Times New Roman" w:hAnsi="Times New Roman" w:cs="Times New Roman"/>
        </w:rPr>
        <w:t>priede</w:t>
      </w:r>
      <w:r w:rsidRPr="00F17EFA">
        <w:rPr>
          <w:rFonts w:ascii="Times New Roman" w:hAnsi="Times New Roman" w:cs="Times New Roman"/>
        </w:rPr>
        <w:t xml:space="preserve">.  </w:t>
      </w:r>
    </w:p>
    <w:p w:rsidR="007E23E3" w:rsidRPr="00896A98" w:rsidRDefault="007E23E3" w:rsidP="00AE7E7E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VTPP skaičiuojami tik tuo atveju, kai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 </w:t>
      </w:r>
      <w:r w:rsidR="00C42549">
        <w:rPr>
          <w:rFonts w:ascii="Times New Roman" w:hAnsi="Times New Roman" w:cs="Times New Roman"/>
        </w:rPr>
        <w:t xml:space="preserve">nesureaguoja ir/ar </w:t>
      </w:r>
      <w:r w:rsidRPr="00F17EFA">
        <w:rPr>
          <w:rFonts w:ascii="Times New Roman" w:hAnsi="Times New Roman" w:cs="Times New Roman"/>
        </w:rPr>
        <w:t xml:space="preserve">neištaiso </w:t>
      </w:r>
      <w:r w:rsidR="00896A98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>eiklos pažeidim</w:t>
      </w:r>
      <w:r w:rsidR="00552AF7">
        <w:rPr>
          <w:rFonts w:ascii="Times New Roman" w:hAnsi="Times New Roman" w:cs="Times New Roman"/>
        </w:rPr>
        <w:t>o</w:t>
      </w:r>
      <w:r w:rsidRPr="00F17EFA">
        <w:rPr>
          <w:rFonts w:ascii="Times New Roman" w:hAnsi="Times New Roman" w:cs="Times New Roman"/>
        </w:rPr>
        <w:t xml:space="preserve"> per </w:t>
      </w:r>
      <w:r w:rsidR="00896A98">
        <w:rPr>
          <w:rFonts w:ascii="Times New Roman" w:hAnsi="Times New Roman" w:cs="Times New Roman"/>
        </w:rPr>
        <w:t>nustatytą terminą</w:t>
      </w:r>
      <w:r w:rsidRPr="00F17EFA">
        <w:rPr>
          <w:rFonts w:ascii="Times New Roman" w:hAnsi="Times New Roman" w:cs="Times New Roman"/>
        </w:rPr>
        <w:t>,  kuri</w:t>
      </w:r>
      <w:r w:rsidR="00896A98">
        <w:rPr>
          <w:rFonts w:ascii="Times New Roman" w:hAnsi="Times New Roman" w:cs="Times New Roman"/>
        </w:rPr>
        <w:t>s</w:t>
      </w:r>
      <w:r w:rsidR="00C42549">
        <w:rPr>
          <w:rFonts w:ascii="Times New Roman" w:hAnsi="Times New Roman" w:cs="Times New Roman"/>
        </w:rPr>
        <w:t xml:space="preserve"> yra</w:t>
      </w:r>
      <w:r w:rsidRPr="00F17EFA">
        <w:rPr>
          <w:rFonts w:ascii="Times New Roman" w:hAnsi="Times New Roman" w:cs="Times New Roman"/>
        </w:rPr>
        <w:t xml:space="preserve">  nurodom</w:t>
      </w:r>
      <w:r w:rsidR="00896A98">
        <w:rPr>
          <w:rFonts w:ascii="Times New Roman" w:hAnsi="Times New Roman" w:cs="Times New Roman"/>
        </w:rPr>
        <w:t>as</w:t>
      </w:r>
      <w:r w:rsidRPr="00F17EFA">
        <w:rPr>
          <w:rFonts w:ascii="Times New Roman" w:hAnsi="Times New Roman" w:cs="Times New Roman"/>
        </w:rPr>
        <w:t xml:space="preserve">  Specifikacijų </w:t>
      </w:r>
      <w:r w:rsidR="00896A98" w:rsidRPr="00FA03A5">
        <w:rPr>
          <w:rFonts w:ascii="Times New Roman" w:hAnsi="Times New Roman" w:cs="Times New Roman"/>
        </w:rPr>
        <w:t xml:space="preserve"> 5.</w:t>
      </w:r>
      <w:r w:rsidR="008D4C25">
        <w:rPr>
          <w:rFonts w:ascii="Times New Roman" w:hAnsi="Times New Roman" w:cs="Times New Roman"/>
        </w:rPr>
        <w:t>16.5</w:t>
      </w:r>
      <w:r w:rsidR="00896A98" w:rsidRPr="00FA03A5">
        <w:rPr>
          <w:rFonts w:ascii="Times New Roman" w:hAnsi="Times New Roman" w:cs="Times New Roman"/>
        </w:rPr>
        <w:t xml:space="preserve"> punkte “</w:t>
      </w:r>
      <w:r w:rsidR="00C42549" w:rsidRPr="00FA03A5">
        <w:rPr>
          <w:rFonts w:ascii="Times New Roman" w:hAnsi="Times New Roman" w:cs="Times New Roman"/>
        </w:rPr>
        <w:t>Reagavimo</w:t>
      </w:r>
      <w:r w:rsidR="00896A98" w:rsidRPr="00FA03A5">
        <w:rPr>
          <w:rFonts w:ascii="Times New Roman" w:hAnsi="Times New Roman" w:cs="Times New Roman"/>
        </w:rPr>
        <w:t xml:space="preserve"> laikas ir (arba) ištaisymo laikotarpis bei</w:t>
      </w:r>
      <w:r w:rsidR="00C42549" w:rsidRPr="00FA03A5">
        <w:rPr>
          <w:rFonts w:ascii="Times New Roman" w:hAnsi="Times New Roman" w:cs="Times New Roman"/>
        </w:rPr>
        <w:t xml:space="preserve"> galutinio taisymo laikotarpi</w:t>
      </w:r>
      <w:r w:rsidR="00896A98" w:rsidRPr="00FA03A5">
        <w:rPr>
          <w:rFonts w:ascii="Times New Roman" w:hAnsi="Times New Roman" w:cs="Times New Roman"/>
        </w:rPr>
        <w:t>s“</w:t>
      </w:r>
      <w:r w:rsidRPr="00896A98">
        <w:rPr>
          <w:rFonts w:ascii="Times New Roman" w:hAnsi="Times New Roman" w:cs="Times New Roman"/>
        </w:rPr>
        <w:t xml:space="preserve">.  </w:t>
      </w:r>
    </w:p>
    <w:p w:rsidR="007E23E3" w:rsidRPr="00F17EFA" w:rsidRDefault="007E23E3" w:rsidP="00AE7E7E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Jei </w:t>
      </w:r>
      <w:r w:rsidR="00896A98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pažeidimas yra neištaisomas iki </w:t>
      </w:r>
      <w:r w:rsidR="00896A98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pažeidimo </w:t>
      </w:r>
      <w:r w:rsidR="00896A98">
        <w:rPr>
          <w:rFonts w:ascii="Times New Roman" w:hAnsi="Times New Roman" w:cs="Times New Roman"/>
        </w:rPr>
        <w:t>g</w:t>
      </w:r>
      <w:r w:rsidR="004A75C3">
        <w:rPr>
          <w:rFonts w:ascii="Times New Roman" w:hAnsi="Times New Roman" w:cs="Times New Roman"/>
        </w:rPr>
        <w:t>alutinio taisymo laikotarpio</w:t>
      </w:r>
      <w:r w:rsidRPr="00F17EFA">
        <w:rPr>
          <w:rFonts w:ascii="Times New Roman" w:hAnsi="Times New Roman" w:cs="Times New Roman"/>
        </w:rPr>
        <w:t xml:space="preserve">  pabaigos  ir pasikartoja antrą (ar dar tolimesnį) kartą, </w:t>
      </w:r>
      <w:r w:rsidR="00FD75F0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>eiklos pažeidimo</w:t>
      </w:r>
      <w:r w:rsidR="004A75C3">
        <w:rPr>
          <w:rFonts w:ascii="Times New Roman" w:hAnsi="Times New Roman" w:cs="Times New Roman"/>
        </w:rPr>
        <w:t xml:space="preserve"> </w:t>
      </w:r>
      <w:r w:rsidR="00FD75F0">
        <w:rPr>
          <w:rFonts w:ascii="Times New Roman" w:hAnsi="Times New Roman" w:cs="Times New Roman"/>
        </w:rPr>
        <w:t>r</w:t>
      </w:r>
      <w:r w:rsidR="004A75C3">
        <w:rPr>
          <w:rFonts w:ascii="Times New Roman" w:hAnsi="Times New Roman" w:cs="Times New Roman"/>
        </w:rPr>
        <w:t>eagavimo</w:t>
      </w:r>
      <w:r w:rsidR="00FD75F0">
        <w:rPr>
          <w:rFonts w:ascii="Times New Roman" w:hAnsi="Times New Roman" w:cs="Times New Roman"/>
        </w:rPr>
        <w:t xml:space="preserve"> laiko ir (arba) ištaisymo laikotarpiai ir galutinio taisymo laikotarpiai</w:t>
      </w:r>
      <w:r w:rsidRPr="00F17EFA">
        <w:rPr>
          <w:rFonts w:ascii="Times New Roman" w:hAnsi="Times New Roman" w:cs="Times New Roman"/>
        </w:rPr>
        <w:t xml:space="preserve"> tokiems pasikartojimams nėra taikom</w:t>
      </w:r>
      <w:r w:rsidR="004A75C3">
        <w:rPr>
          <w:rFonts w:ascii="Times New Roman" w:hAnsi="Times New Roman" w:cs="Times New Roman"/>
        </w:rPr>
        <w:t>i</w:t>
      </w:r>
      <w:r w:rsidRPr="00F17EFA">
        <w:rPr>
          <w:rFonts w:ascii="Times New Roman" w:hAnsi="Times New Roman" w:cs="Times New Roman"/>
        </w:rPr>
        <w:t xml:space="preserve">, todėl VTPP už kiekvieną pasikartojantį </w:t>
      </w:r>
      <w:r w:rsidR="00FD75F0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pažeidimą yra sumuojami. </w:t>
      </w:r>
    </w:p>
    <w:p w:rsidR="003A7AD4" w:rsidRPr="00F17EFA" w:rsidRDefault="00850FC3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Atsižvelgiant į</w:t>
      </w:r>
      <w:r w:rsidR="00685E86" w:rsidRPr="00F17EFA">
        <w:rPr>
          <w:rFonts w:ascii="Times New Roman" w:hAnsi="Times New Roman" w:cs="Times New Roman"/>
        </w:rPr>
        <w:t xml:space="preserve"> Specifikacijų </w:t>
      </w:r>
      <w:r w:rsidR="00FD75F0">
        <w:rPr>
          <w:rFonts w:ascii="Times New Roman" w:hAnsi="Times New Roman" w:cs="Times New Roman"/>
        </w:rPr>
        <w:t xml:space="preserve">1 </w:t>
      </w:r>
      <w:r w:rsidR="00685E86" w:rsidRPr="00F17EFA">
        <w:rPr>
          <w:rFonts w:ascii="Times New Roman" w:hAnsi="Times New Roman" w:cs="Times New Roman"/>
        </w:rPr>
        <w:t>p</w:t>
      </w:r>
      <w:r w:rsidR="00192D14" w:rsidRPr="00F17EFA">
        <w:rPr>
          <w:rFonts w:ascii="Times New Roman" w:hAnsi="Times New Roman" w:cs="Times New Roman"/>
        </w:rPr>
        <w:t>riede pateikiam</w:t>
      </w:r>
      <w:r w:rsidR="00685E86" w:rsidRPr="00F17EFA">
        <w:rPr>
          <w:rFonts w:ascii="Times New Roman" w:hAnsi="Times New Roman" w:cs="Times New Roman"/>
        </w:rPr>
        <w:t>us</w:t>
      </w:r>
      <w:r w:rsidR="00192D14" w:rsidRPr="00F17EFA">
        <w:rPr>
          <w:rFonts w:ascii="Times New Roman" w:hAnsi="Times New Roman" w:cs="Times New Roman"/>
        </w:rPr>
        <w:t xml:space="preserve"> </w:t>
      </w:r>
      <w:r w:rsidR="00FD75F0">
        <w:rPr>
          <w:rFonts w:ascii="Times New Roman" w:hAnsi="Times New Roman" w:cs="Times New Roman"/>
        </w:rPr>
        <w:t>v</w:t>
      </w:r>
      <w:r w:rsidR="00192D14" w:rsidRPr="00F17EFA">
        <w:rPr>
          <w:rFonts w:ascii="Times New Roman" w:hAnsi="Times New Roman" w:cs="Times New Roman"/>
        </w:rPr>
        <w:t>eiklos trūkumų pažeidimo</w:t>
      </w:r>
      <w:r w:rsidR="00685E86" w:rsidRPr="00F17EFA">
        <w:rPr>
          <w:rFonts w:ascii="Times New Roman" w:hAnsi="Times New Roman" w:cs="Times New Roman"/>
        </w:rPr>
        <w:t xml:space="preserve"> taikymo principus,</w:t>
      </w:r>
      <w:r w:rsidRPr="00F17EFA">
        <w:rPr>
          <w:rFonts w:ascii="Times New Roman" w:hAnsi="Times New Roman" w:cs="Times New Roman"/>
        </w:rPr>
        <w:t xml:space="preserve"> VTPP yra apskaičiuojamas </w:t>
      </w:r>
      <w:r w:rsidR="00100E67" w:rsidRPr="00F17EFA">
        <w:rPr>
          <w:rFonts w:ascii="Times New Roman" w:hAnsi="Times New Roman" w:cs="Times New Roman"/>
        </w:rPr>
        <w:t xml:space="preserve"> </w:t>
      </w:r>
      <w:r w:rsidR="003A7AD4" w:rsidRPr="00F17EFA">
        <w:rPr>
          <w:rFonts w:ascii="Times New Roman" w:hAnsi="Times New Roman" w:cs="Times New Roman"/>
        </w:rPr>
        <w:t xml:space="preserve">pagal </w:t>
      </w:r>
      <w:r w:rsidR="002F1415" w:rsidRPr="00F17EFA">
        <w:rPr>
          <w:rFonts w:ascii="Times New Roman" w:hAnsi="Times New Roman" w:cs="Times New Roman"/>
        </w:rPr>
        <w:t>formulę</w:t>
      </w:r>
      <w:r w:rsidR="003A7AD4" w:rsidRPr="00F17EFA">
        <w:rPr>
          <w:rFonts w:ascii="Times New Roman" w:hAnsi="Times New Roman" w:cs="Times New Roman"/>
        </w:rPr>
        <w:t>:</w:t>
      </w:r>
    </w:p>
    <w:p w:rsidR="003A7AD4" w:rsidRDefault="006C4710" w:rsidP="003A7AD4">
      <w:pPr>
        <w:jc w:val="center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 </w:t>
      </w:r>
      <w:r w:rsidR="00983257" w:rsidRPr="00F17EFA">
        <w:rPr>
          <w:rFonts w:ascii="Times New Roman" w:hAnsi="Times New Roman" w:cs="Times New Roman"/>
        </w:rPr>
        <w:t xml:space="preserve"> </w:t>
      </w:r>
      <w:proofErr w:type="spellStart"/>
      <w:r w:rsidR="003A7AD4" w:rsidRPr="00F17EFA">
        <w:rPr>
          <w:rFonts w:ascii="Times New Roman" w:hAnsi="Times New Roman" w:cs="Times New Roman"/>
          <w:i/>
        </w:rPr>
        <w:t>VTPP</w:t>
      </w:r>
      <w:r w:rsidR="003A7AD4" w:rsidRPr="00F17EFA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="003A7AD4" w:rsidRPr="00F17EFA">
        <w:rPr>
          <w:rFonts w:ascii="Times New Roman" w:hAnsi="Times New Roman" w:cs="Times New Roman"/>
          <w:i/>
        </w:rPr>
        <w:t xml:space="preserve"> = </w:t>
      </w:r>
      <w:proofErr w:type="spellStart"/>
      <w:r w:rsidR="003A7AD4" w:rsidRPr="00F17EFA">
        <w:rPr>
          <w:rFonts w:ascii="Times New Roman" w:hAnsi="Times New Roman" w:cs="Times New Roman"/>
          <w:i/>
        </w:rPr>
        <w:t>k</w:t>
      </w:r>
      <w:r w:rsidR="003A7AD4" w:rsidRPr="00F17EFA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="003A7AD4" w:rsidRPr="00F17EFA">
        <w:rPr>
          <w:rFonts w:ascii="Times New Roman" w:hAnsi="Times New Roman" w:cs="Times New Roman"/>
          <w:i/>
        </w:rPr>
        <w:t xml:space="preserve"> x P0</w:t>
      </w:r>
      <w:r w:rsidR="003A7AD4" w:rsidRPr="00F17EFA">
        <w:rPr>
          <w:rFonts w:ascii="Times New Roman" w:hAnsi="Times New Roman" w:cs="Times New Roman"/>
          <w:i/>
          <w:vertAlign w:val="subscript"/>
        </w:rPr>
        <w:t>n</w:t>
      </w:r>
      <w:r w:rsidR="00CA1BC9" w:rsidRPr="00F17EFA">
        <w:rPr>
          <w:rFonts w:ascii="Times New Roman" w:hAnsi="Times New Roman" w:cs="Times New Roman"/>
          <w:i/>
          <w:vertAlign w:val="subscript"/>
        </w:rPr>
        <w:t xml:space="preserve"> </w:t>
      </w:r>
      <w:r w:rsidR="00CA1BC9" w:rsidRPr="00F17EFA">
        <w:rPr>
          <w:rFonts w:ascii="Times New Roman" w:hAnsi="Times New Roman" w:cs="Times New Roman"/>
        </w:rPr>
        <w:t>(3)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3A7AD4" w:rsidRPr="00AB127A" w:rsidTr="005F595A">
        <w:tc>
          <w:tcPr>
            <w:tcW w:w="3369" w:type="dxa"/>
          </w:tcPr>
          <w:p w:rsidR="003A7AD4" w:rsidRPr="00F17EFA" w:rsidRDefault="003A7AD4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3A7AD4" w:rsidRPr="00F17EFA" w:rsidRDefault="003A7AD4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  <w:vertAlign w:val="subscript"/>
              </w:rPr>
            </w:pPr>
            <w:proofErr w:type="spellStart"/>
            <w:r w:rsidRPr="00F17EFA">
              <w:rPr>
                <w:rFonts w:ascii="Times New Roman" w:hAnsi="Times New Roman" w:cs="Times New Roman"/>
                <w:i/>
              </w:rPr>
              <w:t>VTPP</w:t>
            </w:r>
            <w:r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proofErr w:type="spellEnd"/>
          </w:p>
          <w:p w:rsidR="003A7AD4" w:rsidRPr="00F17EFA" w:rsidRDefault="003A7AD4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7EFA">
              <w:rPr>
                <w:rFonts w:ascii="Times New Roman" w:hAnsi="Times New Roman" w:cs="Times New Roman"/>
                <w:i/>
              </w:rPr>
              <w:t>k</w:t>
            </w:r>
            <w:r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proofErr w:type="spellEnd"/>
          </w:p>
          <w:p w:rsidR="003A7AD4" w:rsidRPr="00F17EFA" w:rsidRDefault="003A7AD4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</w:p>
          <w:p w:rsidR="003A7AD4" w:rsidRPr="00F17EFA" w:rsidRDefault="003A7AD4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  <w:vertAlign w:val="subscript"/>
              </w:rPr>
            </w:pPr>
            <w:r w:rsidRPr="00F17EFA">
              <w:rPr>
                <w:rFonts w:ascii="Times New Roman" w:hAnsi="Times New Roman" w:cs="Times New Roman"/>
                <w:i/>
              </w:rPr>
              <w:t>P0</w:t>
            </w:r>
            <w:r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</w:p>
        </w:tc>
        <w:tc>
          <w:tcPr>
            <w:tcW w:w="6485" w:type="dxa"/>
          </w:tcPr>
          <w:p w:rsidR="003A7AD4" w:rsidRPr="00F17EFA" w:rsidRDefault="003A7AD4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3A7AD4" w:rsidRPr="00F17EFA" w:rsidRDefault="003A7AD4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Veiklos trūkumų pažeidimo procent</w:t>
            </w:r>
            <w:r w:rsidR="000F3728" w:rsidRPr="00F17EFA">
              <w:rPr>
                <w:rFonts w:ascii="Times New Roman" w:hAnsi="Times New Roman" w:cs="Times New Roman"/>
              </w:rPr>
              <w:t>inis punktas</w:t>
            </w:r>
          </w:p>
          <w:p w:rsidR="003A7AD4" w:rsidRPr="00F17EFA" w:rsidRDefault="003A7AD4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Taikomas koeficientas (pateikiama skaitinė išraiška) konkrečiam Veiklos trūkumų pažeidimui</w:t>
            </w:r>
          </w:p>
          <w:p w:rsidR="003A7AD4" w:rsidRPr="00F17EFA" w:rsidRDefault="003A7AD4" w:rsidP="00FD75F0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Taikomas </w:t>
            </w:r>
            <w:r w:rsidR="002F1415" w:rsidRPr="00F17EFA">
              <w:rPr>
                <w:rFonts w:ascii="Times New Roman" w:hAnsi="Times New Roman" w:cs="Times New Roman"/>
              </w:rPr>
              <w:t xml:space="preserve">procentinis dydis </w:t>
            </w:r>
            <w:r w:rsidRPr="00F17EFA">
              <w:rPr>
                <w:rFonts w:ascii="Times New Roman" w:hAnsi="Times New Roman" w:cs="Times New Roman"/>
              </w:rPr>
              <w:t xml:space="preserve">konkrečiam </w:t>
            </w:r>
            <w:r w:rsidR="00FD75F0">
              <w:rPr>
                <w:rFonts w:ascii="Times New Roman" w:hAnsi="Times New Roman" w:cs="Times New Roman"/>
              </w:rPr>
              <w:t>v</w:t>
            </w:r>
            <w:r w:rsidRPr="00F17EFA">
              <w:rPr>
                <w:rFonts w:ascii="Times New Roman" w:hAnsi="Times New Roman" w:cs="Times New Roman"/>
              </w:rPr>
              <w:t>eiklos pažeidimui</w:t>
            </w:r>
          </w:p>
        </w:tc>
      </w:tr>
    </w:tbl>
    <w:p w:rsidR="00983257" w:rsidRPr="00F17EFA" w:rsidRDefault="00983257" w:rsidP="00673410">
      <w:pPr>
        <w:pStyle w:val="Sraopastraipa"/>
        <w:ind w:left="792"/>
        <w:rPr>
          <w:rFonts w:ascii="Times New Roman" w:hAnsi="Times New Roman" w:cs="Times New Roman"/>
        </w:rPr>
      </w:pPr>
    </w:p>
    <w:p w:rsidR="002F1415" w:rsidRPr="00F17EFA" w:rsidRDefault="002F1415" w:rsidP="00AE7E7E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Taikomas procentinis dydis [P0] konkrečiam </w:t>
      </w:r>
      <w:r w:rsidR="00FD75F0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pažeidimui yra </w:t>
      </w:r>
      <w:r w:rsidRPr="001165E6">
        <w:rPr>
          <w:rFonts w:ascii="Times New Roman" w:hAnsi="Times New Roman" w:cs="Times New Roman"/>
        </w:rPr>
        <w:t>lygus 0,01%.</w:t>
      </w:r>
    </w:p>
    <w:p w:rsidR="002F1415" w:rsidRPr="00FD75F0" w:rsidRDefault="002F1415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Taikomas koeficientas [k] konkrečiam </w:t>
      </w:r>
      <w:r w:rsidR="00FD75F0">
        <w:rPr>
          <w:rFonts w:ascii="Times New Roman" w:hAnsi="Times New Roman" w:cs="Times New Roman"/>
        </w:rPr>
        <w:t>v</w:t>
      </w:r>
      <w:r w:rsidRPr="00F17EFA">
        <w:rPr>
          <w:rFonts w:ascii="Times New Roman" w:hAnsi="Times New Roman" w:cs="Times New Roman"/>
        </w:rPr>
        <w:t xml:space="preserve">eiklos pažeidimui nurodomas </w:t>
      </w:r>
      <w:r w:rsidRPr="00FA03A5">
        <w:rPr>
          <w:rFonts w:ascii="Times New Roman" w:hAnsi="Times New Roman" w:cs="Times New Roman"/>
        </w:rPr>
        <w:t xml:space="preserve">Specifikacijų </w:t>
      </w:r>
      <w:r w:rsidR="00FD75F0" w:rsidRPr="00FA03A5">
        <w:rPr>
          <w:rFonts w:ascii="Times New Roman" w:hAnsi="Times New Roman" w:cs="Times New Roman"/>
        </w:rPr>
        <w:t>1</w:t>
      </w:r>
      <w:r w:rsidRPr="00FA03A5">
        <w:rPr>
          <w:rFonts w:ascii="Times New Roman" w:hAnsi="Times New Roman" w:cs="Times New Roman"/>
        </w:rPr>
        <w:t xml:space="preserve"> </w:t>
      </w:r>
      <w:r w:rsidR="00685E86" w:rsidRPr="00FA03A5">
        <w:rPr>
          <w:rFonts w:ascii="Times New Roman" w:hAnsi="Times New Roman" w:cs="Times New Roman"/>
        </w:rPr>
        <w:t>p</w:t>
      </w:r>
      <w:r w:rsidRPr="00FA03A5">
        <w:rPr>
          <w:rFonts w:ascii="Times New Roman" w:hAnsi="Times New Roman" w:cs="Times New Roman"/>
        </w:rPr>
        <w:t>riede .</w:t>
      </w:r>
    </w:p>
    <w:p w:rsidR="00421FFF" w:rsidRPr="00F17EFA" w:rsidRDefault="002F1415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V</w:t>
      </w:r>
      <w:r w:rsidR="00AA6F2F" w:rsidRPr="00F17EFA">
        <w:rPr>
          <w:rFonts w:ascii="Times New Roman" w:hAnsi="Times New Roman" w:cs="Times New Roman"/>
        </w:rPr>
        <w:t>TPP</w:t>
      </w:r>
      <w:r w:rsidR="00BF6739" w:rsidRPr="00F17EFA">
        <w:rPr>
          <w:rFonts w:ascii="Times New Roman" w:hAnsi="Times New Roman" w:cs="Times New Roman"/>
        </w:rPr>
        <w:t>K</w:t>
      </w:r>
      <w:r w:rsidR="00100E67" w:rsidRPr="00F17EFA">
        <w:rPr>
          <w:rFonts w:ascii="Times New Roman" w:hAnsi="Times New Roman" w:cs="Times New Roman"/>
        </w:rPr>
        <w:t xml:space="preserve"> – tai koeficientas, kuriuo vadovaujantis, įvertinamas </w:t>
      </w:r>
      <w:r w:rsidR="00421FFF" w:rsidRPr="00F17EFA">
        <w:rPr>
          <w:rFonts w:ascii="Times New Roman" w:hAnsi="Times New Roman" w:cs="Times New Roman"/>
        </w:rPr>
        <w:t xml:space="preserve">taikomų </w:t>
      </w:r>
      <w:r w:rsidR="00FD75F0">
        <w:rPr>
          <w:rFonts w:ascii="Times New Roman" w:hAnsi="Times New Roman" w:cs="Times New Roman"/>
        </w:rPr>
        <w:t>v</w:t>
      </w:r>
      <w:r w:rsidR="00421FFF" w:rsidRPr="00F17EFA">
        <w:rPr>
          <w:rFonts w:ascii="Times New Roman" w:hAnsi="Times New Roman" w:cs="Times New Roman"/>
        </w:rPr>
        <w:t>eikl</w:t>
      </w:r>
      <w:r w:rsidR="00E35C02" w:rsidRPr="00F17EFA">
        <w:rPr>
          <w:rFonts w:ascii="Times New Roman" w:hAnsi="Times New Roman" w:cs="Times New Roman"/>
        </w:rPr>
        <w:t>os</w:t>
      </w:r>
      <w:r w:rsidR="00421FFF" w:rsidRPr="00F17EFA">
        <w:rPr>
          <w:rFonts w:ascii="Times New Roman" w:hAnsi="Times New Roman" w:cs="Times New Roman"/>
        </w:rPr>
        <w:t xml:space="preserve"> tr</w:t>
      </w:r>
      <w:r w:rsidR="00C41603" w:rsidRPr="00F17EFA">
        <w:rPr>
          <w:rFonts w:ascii="Times New Roman" w:hAnsi="Times New Roman" w:cs="Times New Roman"/>
        </w:rPr>
        <w:t>ūk</w:t>
      </w:r>
      <w:r w:rsidR="00421FFF" w:rsidRPr="00F17EFA">
        <w:rPr>
          <w:rFonts w:ascii="Times New Roman" w:hAnsi="Times New Roman" w:cs="Times New Roman"/>
        </w:rPr>
        <w:t xml:space="preserve">umų </w:t>
      </w:r>
      <w:r w:rsidR="00100E67" w:rsidRPr="00F17EFA">
        <w:rPr>
          <w:rFonts w:ascii="Times New Roman" w:hAnsi="Times New Roman" w:cs="Times New Roman"/>
        </w:rPr>
        <w:t xml:space="preserve">pažeidimų </w:t>
      </w:r>
      <w:r w:rsidR="005D349D" w:rsidRPr="00F17EFA">
        <w:rPr>
          <w:rFonts w:ascii="Times New Roman" w:hAnsi="Times New Roman" w:cs="Times New Roman"/>
        </w:rPr>
        <w:t xml:space="preserve">procentų </w:t>
      </w:r>
      <w:r w:rsidR="00421FFF" w:rsidRPr="00F17EFA">
        <w:rPr>
          <w:rFonts w:ascii="Times New Roman" w:hAnsi="Times New Roman" w:cs="Times New Roman"/>
        </w:rPr>
        <w:t>suma</w:t>
      </w:r>
      <w:r w:rsidR="00100E67" w:rsidRPr="00F17EFA">
        <w:rPr>
          <w:rFonts w:ascii="Times New Roman" w:hAnsi="Times New Roman" w:cs="Times New Roman"/>
        </w:rPr>
        <w:t xml:space="preserve"> per atitinkamą </w:t>
      </w:r>
      <w:r w:rsidR="00155BAD" w:rsidRPr="00F17EFA">
        <w:rPr>
          <w:rFonts w:ascii="Times New Roman" w:hAnsi="Times New Roman" w:cs="Times New Roman"/>
        </w:rPr>
        <w:t xml:space="preserve">ataskaitinį </w:t>
      </w:r>
      <w:r w:rsidR="00100E67" w:rsidRPr="00F17EFA">
        <w:rPr>
          <w:rFonts w:ascii="Times New Roman" w:hAnsi="Times New Roman" w:cs="Times New Roman"/>
        </w:rPr>
        <w:t xml:space="preserve">laikotarpį. </w:t>
      </w:r>
      <w:r w:rsidR="00BF6739" w:rsidRPr="00F17EFA">
        <w:rPr>
          <w:rFonts w:ascii="Times New Roman" w:hAnsi="Times New Roman" w:cs="Times New Roman"/>
        </w:rPr>
        <w:t>VTP</w:t>
      </w:r>
      <w:r w:rsidR="005E5665" w:rsidRPr="00F17EFA">
        <w:rPr>
          <w:rFonts w:ascii="Times New Roman" w:hAnsi="Times New Roman" w:cs="Times New Roman"/>
        </w:rPr>
        <w:t>P</w:t>
      </w:r>
      <w:r w:rsidR="00BF6739" w:rsidRPr="00F17EFA">
        <w:rPr>
          <w:rFonts w:ascii="Times New Roman" w:hAnsi="Times New Roman" w:cs="Times New Roman"/>
        </w:rPr>
        <w:t>K</w:t>
      </w:r>
      <w:r w:rsidR="00100E67" w:rsidRPr="00F17EFA">
        <w:rPr>
          <w:rFonts w:ascii="Times New Roman" w:hAnsi="Times New Roman" w:cs="Times New Roman"/>
        </w:rPr>
        <w:t xml:space="preserve"> apskaičiuojamas </w:t>
      </w:r>
      <w:r w:rsidR="00421FFF" w:rsidRPr="00F17EFA">
        <w:rPr>
          <w:rFonts w:ascii="Times New Roman" w:hAnsi="Times New Roman" w:cs="Times New Roman"/>
        </w:rPr>
        <w:t>pagal formul</w:t>
      </w:r>
      <w:r w:rsidRPr="00F17EFA">
        <w:rPr>
          <w:rFonts w:ascii="Times New Roman" w:hAnsi="Times New Roman" w:cs="Times New Roman"/>
        </w:rPr>
        <w:t>ę</w:t>
      </w:r>
      <w:r w:rsidR="00421FFF" w:rsidRPr="00F17EFA">
        <w:rPr>
          <w:rFonts w:ascii="Times New Roman" w:hAnsi="Times New Roman" w:cs="Times New Roman"/>
        </w:rPr>
        <w:t xml:space="preserve">: </w:t>
      </w:r>
    </w:p>
    <w:p w:rsidR="00421FFF" w:rsidRPr="00F17EFA" w:rsidRDefault="0043129E" w:rsidP="006C4710">
      <w:pPr>
        <w:ind w:left="360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 xml:space="preserve">VTPPK=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VTPP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(4)</m:t>
          </m:r>
        </m:oMath>
      </m:oMathPara>
    </w:p>
    <w:p w:rsidR="00100E67" w:rsidRPr="00FA03A5" w:rsidRDefault="003E3823" w:rsidP="0060239F">
      <w:pPr>
        <w:pStyle w:val="Sraopastraipa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iCs/>
          <w:smallCaps/>
        </w:rPr>
      </w:pPr>
      <w:r w:rsidRPr="00FA03A5">
        <w:rPr>
          <w:rFonts w:ascii="Times New Roman" w:eastAsia="Times New Roman" w:hAnsi="Times New Roman" w:cs="Times New Roman"/>
          <w:b/>
          <w:iCs/>
          <w:smallCaps/>
        </w:rPr>
        <w:t>PASLAUGŲ NEPRIEINAMUMO</w:t>
      </w:r>
      <w:r w:rsidR="00100E67" w:rsidRPr="00FA03A5">
        <w:rPr>
          <w:rFonts w:ascii="Times New Roman" w:eastAsia="Times New Roman" w:hAnsi="Times New Roman" w:cs="Times New Roman"/>
          <w:b/>
          <w:iCs/>
          <w:smallCaps/>
        </w:rPr>
        <w:t xml:space="preserve"> </w:t>
      </w:r>
      <w:r w:rsidRPr="00FA03A5">
        <w:rPr>
          <w:rFonts w:ascii="Times New Roman" w:eastAsia="Times New Roman" w:hAnsi="Times New Roman" w:cs="Times New Roman"/>
          <w:b/>
          <w:iCs/>
          <w:smallCaps/>
        </w:rPr>
        <w:t xml:space="preserve">PAŽEIDIMŲ </w:t>
      </w:r>
      <w:r w:rsidR="001165E6" w:rsidRPr="00FA03A5">
        <w:rPr>
          <w:rFonts w:ascii="Times New Roman" w:eastAsia="Times New Roman" w:hAnsi="Times New Roman" w:cs="Times New Roman"/>
          <w:b/>
          <w:iCs/>
          <w:smallCaps/>
        </w:rPr>
        <w:t>IŠSKAIT</w:t>
      </w:r>
      <w:r w:rsidR="00100E67" w:rsidRPr="00FA03A5">
        <w:rPr>
          <w:rFonts w:ascii="Times New Roman" w:eastAsia="Times New Roman" w:hAnsi="Times New Roman" w:cs="Times New Roman"/>
          <w:b/>
          <w:iCs/>
          <w:smallCaps/>
        </w:rPr>
        <w:t>A (</w:t>
      </w:r>
      <w:r w:rsidR="00CA1BC9" w:rsidRPr="00FA03A5">
        <w:rPr>
          <w:rFonts w:ascii="Times New Roman" w:eastAsia="Times New Roman" w:hAnsi="Times New Roman" w:cs="Times New Roman"/>
          <w:b/>
          <w:iCs/>
          <w:smallCaps/>
        </w:rPr>
        <w:t>PNB</w:t>
      </w:r>
      <w:r w:rsidR="00100E67" w:rsidRPr="00FA03A5">
        <w:rPr>
          <w:rFonts w:ascii="Times New Roman" w:eastAsia="Times New Roman" w:hAnsi="Times New Roman" w:cs="Times New Roman"/>
          <w:b/>
          <w:iCs/>
          <w:smallCaps/>
        </w:rPr>
        <w:t>)</w:t>
      </w:r>
    </w:p>
    <w:p w:rsidR="00CA1BC9" w:rsidRPr="00F17EFA" w:rsidRDefault="00CA1BC9" w:rsidP="003E3823">
      <w:pPr>
        <w:jc w:val="center"/>
        <w:rPr>
          <w:rFonts w:ascii="Times New Roman" w:hAnsi="Times New Roman" w:cs="Times New Roman"/>
        </w:rPr>
      </w:pPr>
    </w:p>
    <w:p w:rsidR="000F3728" w:rsidRPr="00F17EFA" w:rsidRDefault="000F3728" w:rsidP="000F372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Už  kiekvieną  įvykusį  Paslaugų neprieinamumo pažeidimą  yra  skaičiuojami Paslaugų neprieinamumo </w:t>
      </w:r>
      <w:r w:rsidR="00192D14" w:rsidRPr="00F17EFA">
        <w:rPr>
          <w:rFonts w:ascii="Times New Roman" w:hAnsi="Times New Roman" w:cs="Times New Roman"/>
        </w:rPr>
        <w:t>pažeidimo procentai [PNPP]. PN</w:t>
      </w:r>
      <w:r w:rsidRPr="00F17EFA">
        <w:rPr>
          <w:rFonts w:ascii="Times New Roman" w:hAnsi="Times New Roman" w:cs="Times New Roman"/>
        </w:rPr>
        <w:t xml:space="preserve">PP nustatyti Specifikacijų </w:t>
      </w:r>
      <w:r w:rsidR="008D4C25">
        <w:rPr>
          <w:rFonts w:ascii="Times New Roman" w:hAnsi="Times New Roman" w:cs="Times New Roman"/>
        </w:rPr>
        <w:t xml:space="preserve">1 </w:t>
      </w:r>
      <w:r w:rsidR="00FD75F0">
        <w:rPr>
          <w:rFonts w:ascii="Times New Roman" w:hAnsi="Times New Roman" w:cs="Times New Roman"/>
        </w:rPr>
        <w:t>priede</w:t>
      </w:r>
      <w:r w:rsidR="00FD75F0" w:rsidRPr="00F17EFA">
        <w:rPr>
          <w:rFonts w:ascii="Times New Roman" w:hAnsi="Times New Roman" w:cs="Times New Roman"/>
        </w:rPr>
        <w:t xml:space="preserve"> </w:t>
      </w:r>
      <w:r w:rsidRPr="00F17EFA">
        <w:rPr>
          <w:rFonts w:ascii="Times New Roman" w:hAnsi="Times New Roman" w:cs="Times New Roman"/>
        </w:rPr>
        <w:t xml:space="preserve">prie konkretaus </w:t>
      </w:r>
      <w:r w:rsidR="00192D14" w:rsidRPr="00F17EFA">
        <w:rPr>
          <w:rFonts w:ascii="Times New Roman" w:hAnsi="Times New Roman" w:cs="Times New Roman"/>
        </w:rPr>
        <w:t>Paslaugų neprieinamumo</w:t>
      </w:r>
      <w:r w:rsidRPr="00F17EFA">
        <w:rPr>
          <w:rFonts w:ascii="Times New Roman" w:hAnsi="Times New Roman" w:cs="Times New Roman"/>
        </w:rPr>
        <w:t xml:space="preserve"> pažeidimo. </w:t>
      </w:r>
      <w:r w:rsidR="00192D14" w:rsidRPr="00F17EFA">
        <w:rPr>
          <w:rFonts w:ascii="Times New Roman" w:hAnsi="Times New Roman" w:cs="Times New Roman"/>
        </w:rPr>
        <w:t>PN</w:t>
      </w:r>
      <w:r w:rsidRPr="00F17EFA">
        <w:rPr>
          <w:rFonts w:ascii="Times New Roman" w:hAnsi="Times New Roman" w:cs="Times New Roman"/>
        </w:rPr>
        <w:t xml:space="preserve">PP skaičiuojami tuo atveju, kai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 neįvykdo Specifikacijose nustatytų reikalavimų. </w:t>
      </w:r>
      <w:r w:rsidR="00192D14" w:rsidRPr="00F17EFA">
        <w:rPr>
          <w:rFonts w:ascii="Times New Roman" w:hAnsi="Times New Roman" w:cs="Times New Roman"/>
        </w:rPr>
        <w:t>Paslaugų neprieinamumo</w:t>
      </w:r>
      <w:r w:rsidRPr="00F17EFA">
        <w:rPr>
          <w:rFonts w:ascii="Times New Roman" w:hAnsi="Times New Roman" w:cs="Times New Roman"/>
        </w:rPr>
        <w:t xml:space="preserve">  pažeidimai ir už juos skiriami</w:t>
      </w:r>
      <w:r w:rsidR="00192D14" w:rsidRPr="00F17EFA">
        <w:rPr>
          <w:rFonts w:ascii="Times New Roman" w:hAnsi="Times New Roman" w:cs="Times New Roman"/>
        </w:rPr>
        <w:t xml:space="preserve"> PN</w:t>
      </w:r>
      <w:r w:rsidRPr="00F17EFA">
        <w:rPr>
          <w:rFonts w:ascii="Times New Roman" w:hAnsi="Times New Roman" w:cs="Times New Roman"/>
        </w:rPr>
        <w:t xml:space="preserve">PP skaičiuojami už tą </w:t>
      </w:r>
      <w:r w:rsidR="00FD75F0">
        <w:rPr>
          <w:rFonts w:ascii="Times New Roman" w:hAnsi="Times New Roman" w:cs="Times New Roman"/>
        </w:rPr>
        <w:t>a</w:t>
      </w:r>
      <w:r w:rsidRPr="00F17EFA">
        <w:rPr>
          <w:rFonts w:ascii="Times New Roman" w:hAnsi="Times New Roman" w:cs="Times New Roman"/>
        </w:rPr>
        <w:t>taskaitinį laikotarpį, kurio metu tokie pažeidimai yra užfiksuoti</w:t>
      </w:r>
      <w:r w:rsidR="00FD75F0">
        <w:rPr>
          <w:rFonts w:ascii="Times New Roman" w:hAnsi="Times New Roman" w:cs="Times New Roman"/>
        </w:rPr>
        <w:t>,</w:t>
      </w:r>
      <w:r w:rsidRPr="00F17EFA">
        <w:rPr>
          <w:rFonts w:ascii="Times New Roman" w:hAnsi="Times New Roman" w:cs="Times New Roman"/>
        </w:rPr>
        <w:t xml:space="preserve"> vadovaujantis Specifikacijomis ir </w:t>
      </w:r>
      <w:r w:rsidR="00FD75F0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 xml:space="preserve">utartimi, nesvarbu, kada tokie pažeidimai </w:t>
      </w:r>
      <w:r w:rsidR="00FD75F0">
        <w:rPr>
          <w:rFonts w:ascii="Times New Roman" w:hAnsi="Times New Roman" w:cs="Times New Roman"/>
        </w:rPr>
        <w:t>padaryti</w:t>
      </w:r>
      <w:r w:rsidRPr="00F17EFA">
        <w:rPr>
          <w:rFonts w:ascii="Times New Roman" w:hAnsi="Times New Roman" w:cs="Times New Roman"/>
        </w:rPr>
        <w:t xml:space="preserve">.  </w:t>
      </w:r>
    </w:p>
    <w:p w:rsidR="00CA1BC9" w:rsidRPr="00F17EFA" w:rsidRDefault="00CA1BC9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PNB yra apskaičiuota konkreti suma, kurią privalo sumokėti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. </w:t>
      </w:r>
    </w:p>
    <w:p w:rsidR="00CA1BC9" w:rsidRPr="00F17EFA" w:rsidRDefault="00CA1BC9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PNB apskaičiuojama pagal formulę: </w:t>
      </w:r>
    </w:p>
    <w:p w:rsidR="00CA1BC9" w:rsidRPr="00F17EFA" w:rsidRDefault="00CA1BC9" w:rsidP="00CA1BC9">
      <w:pPr>
        <w:jc w:val="center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  <w:i/>
        </w:rPr>
        <w:t>PNB</w:t>
      </w:r>
      <w:r w:rsidRPr="00F17EFA">
        <w:rPr>
          <w:rFonts w:ascii="Times New Roman" w:hAnsi="Times New Roman" w:cs="Times New Roman"/>
        </w:rPr>
        <w:t xml:space="preserve"> = </w:t>
      </w:r>
      <w:r w:rsidRPr="00F17EFA">
        <w:rPr>
          <w:rFonts w:ascii="Cambria Math" w:hAnsi="Cambria Math" w:cs="Cambria Math"/>
        </w:rPr>
        <w:t>𝐾𝑉𝑃</w:t>
      </w:r>
      <w:r w:rsidRPr="00F17EFA">
        <w:rPr>
          <w:rFonts w:ascii="Times New Roman" w:hAnsi="Times New Roman" w:cs="Times New Roman"/>
        </w:rPr>
        <w:t xml:space="preserve"> × </w:t>
      </w:r>
      <w:r w:rsidRPr="00F17EFA">
        <w:rPr>
          <w:rFonts w:ascii="Times New Roman" w:hAnsi="Times New Roman" w:cs="Times New Roman"/>
          <w:i/>
        </w:rPr>
        <w:t>PNPPK</w:t>
      </w:r>
      <w:r w:rsidRPr="00F17EFA">
        <w:rPr>
          <w:rFonts w:ascii="Times New Roman" w:hAnsi="Times New Roman" w:cs="Times New Roman"/>
        </w:rPr>
        <w:t xml:space="preserve"> (5)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CA1BC9" w:rsidRPr="00AB127A" w:rsidTr="005F595A">
        <w:tc>
          <w:tcPr>
            <w:tcW w:w="3369" w:type="dxa"/>
          </w:tcPr>
          <w:p w:rsidR="00CA1BC9" w:rsidRPr="00F17EFA" w:rsidRDefault="00CA1BC9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CA1BC9" w:rsidRPr="00F17EFA" w:rsidRDefault="0084026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PN</w:t>
            </w:r>
            <w:r w:rsidR="00CA1BC9" w:rsidRPr="00F17EFA">
              <w:rPr>
                <w:rFonts w:ascii="Times New Roman" w:hAnsi="Times New Roman" w:cs="Times New Roman"/>
                <w:i/>
              </w:rPr>
              <w:t>B</w:t>
            </w:r>
          </w:p>
          <w:p w:rsidR="00CA1BC9" w:rsidRPr="00F17EFA" w:rsidRDefault="00CA1BC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KVP</w:t>
            </w:r>
          </w:p>
          <w:p w:rsidR="00CA1BC9" w:rsidRPr="00F17EFA" w:rsidRDefault="0084026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PN</w:t>
            </w:r>
            <w:r w:rsidR="00CA1BC9" w:rsidRPr="00F17EFA">
              <w:rPr>
                <w:rFonts w:ascii="Times New Roman" w:hAnsi="Times New Roman" w:cs="Times New Roman"/>
                <w:i/>
              </w:rPr>
              <w:t>PPK</w:t>
            </w:r>
          </w:p>
        </w:tc>
        <w:tc>
          <w:tcPr>
            <w:tcW w:w="6485" w:type="dxa"/>
          </w:tcPr>
          <w:p w:rsidR="00CA1BC9" w:rsidRPr="00F17EFA" w:rsidRDefault="00CA1BC9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CA1BC9" w:rsidRPr="00F17EFA" w:rsidRDefault="0084026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Paslaugų neprieinamumo</w:t>
            </w:r>
            <w:r w:rsidR="00CA1BC9" w:rsidRPr="00F17EFA">
              <w:rPr>
                <w:rFonts w:ascii="Times New Roman" w:hAnsi="Times New Roman" w:cs="Times New Roman"/>
              </w:rPr>
              <w:t xml:space="preserve"> pažeidimų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="00CA1BC9" w:rsidRPr="00F17EFA">
              <w:rPr>
                <w:rFonts w:ascii="Times New Roman" w:hAnsi="Times New Roman" w:cs="Times New Roman"/>
              </w:rPr>
              <w:t>a</w:t>
            </w:r>
          </w:p>
          <w:p w:rsidR="00CA1BC9" w:rsidRPr="00F17EFA" w:rsidRDefault="00B02EBC" w:rsidP="0056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bendrovės</w:t>
            </w:r>
            <w:r w:rsidR="00CA1BC9" w:rsidRPr="00F17EFA">
              <w:rPr>
                <w:rFonts w:ascii="Times New Roman" w:hAnsi="Times New Roman" w:cs="Times New Roman"/>
              </w:rPr>
              <w:t xml:space="preserve"> pajamos, kaip numatyta šio dokumento </w:t>
            </w:r>
            <w:r w:rsidR="00FD75F0">
              <w:rPr>
                <w:rFonts w:ascii="Times New Roman" w:hAnsi="Times New Roman" w:cs="Times New Roman"/>
              </w:rPr>
              <w:fldChar w:fldCharType="begin"/>
            </w:r>
            <w:r w:rsidR="00FD75F0">
              <w:rPr>
                <w:rFonts w:ascii="Times New Roman" w:hAnsi="Times New Roman" w:cs="Times New Roman"/>
              </w:rPr>
              <w:instrText xml:space="preserve"> REF _Ref442075159 \r \h </w:instrText>
            </w:r>
            <w:r w:rsidR="00FD75F0">
              <w:rPr>
                <w:rFonts w:ascii="Times New Roman" w:hAnsi="Times New Roman" w:cs="Times New Roman"/>
              </w:rPr>
            </w:r>
            <w:r w:rsidR="00FD75F0">
              <w:rPr>
                <w:rFonts w:ascii="Times New Roman" w:hAnsi="Times New Roman" w:cs="Times New Roman"/>
              </w:rPr>
              <w:fldChar w:fldCharType="separate"/>
            </w:r>
            <w:r w:rsidR="00FD75F0">
              <w:rPr>
                <w:rFonts w:ascii="Times New Roman" w:hAnsi="Times New Roman" w:cs="Times New Roman"/>
              </w:rPr>
              <w:t>6</w:t>
            </w:r>
            <w:r w:rsidR="00FD75F0">
              <w:rPr>
                <w:rFonts w:ascii="Times New Roman" w:hAnsi="Times New Roman" w:cs="Times New Roman"/>
              </w:rPr>
              <w:fldChar w:fldCharType="end"/>
            </w:r>
            <w:r w:rsidR="00FD75F0">
              <w:rPr>
                <w:rFonts w:ascii="Times New Roman" w:hAnsi="Times New Roman" w:cs="Times New Roman"/>
              </w:rPr>
              <w:t xml:space="preserve"> </w:t>
            </w:r>
            <w:r w:rsidR="00CA1BC9" w:rsidRPr="00FA03A5">
              <w:rPr>
                <w:rFonts w:ascii="Times New Roman" w:hAnsi="Times New Roman" w:cs="Times New Roman"/>
              </w:rPr>
              <w:t>punkte</w:t>
            </w:r>
          </w:p>
          <w:p w:rsidR="00CA1BC9" w:rsidRPr="00F17EFA" w:rsidRDefault="0084026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Paslaugų neprieinamumo</w:t>
            </w:r>
            <w:r w:rsidR="00CA1BC9" w:rsidRPr="00F17EFA">
              <w:rPr>
                <w:rFonts w:ascii="Times New Roman" w:hAnsi="Times New Roman" w:cs="Times New Roman"/>
              </w:rPr>
              <w:t xml:space="preserve"> pažeidimo procentinis koeficientas </w:t>
            </w:r>
          </w:p>
        </w:tc>
      </w:tr>
    </w:tbl>
    <w:p w:rsidR="00CA1BC9" w:rsidRPr="00F17EFA" w:rsidRDefault="00CA1BC9" w:rsidP="00CA1BC9">
      <w:pPr>
        <w:rPr>
          <w:rFonts w:ascii="Times New Roman" w:hAnsi="Times New Roman" w:cs="Times New Roman"/>
        </w:rPr>
      </w:pPr>
    </w:p>
    <w:p w:rsidR="00CA1BC9" w:rsidRPr="00F17EFA" w:rsidRDefault="00840269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PN</w:t>
      </w:r>
      <w:r w:rsidR="00CA1BC9" w:rsidRPr="00F17EFA">
        <w:rPr>
          <w:rFonts w:ascii="Times New Roman" w:hAnsi="Times New Roman" w:cs="Times New Roman"/>
        </w:rPr>
        <w:t>B apskaičiavimo tvarka:</w:t>
      </w:r>
    </w:p>
    <w:p w:rsidR="00192D14" w:rsidRPr="00F17EFA" w:rsidRDefault="00192D14" w:rsidP="00192D14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Pirmiausia suskaičiuojama, kiek PNPP yra surinkta per atitinkamą </w:t>
      </w:r>
      <w:r w:rsidR="00FD75F0">
        <w:rPr>
          <w:rFonts w:ascii="Times New Roman" w:hAnsi="Times New Roman" w:cs="Times New Roman"/>
        </w:rPr>
        <w:t>a</w:t>
      </w:r>
      <w:r w:rsidRPr="00F17EFA">
        <w:rPr>
          <w:rFonts w:ascii="Times New Roman" w:hAnsi="Times New Roman" w:cs="Times New Roman"/>
        </w:rPr>
        <w:t xml:space="preserve">taskaitinį laikotarpį. PNPP už konkretų </w:t>
      </w:r>
      <w:r w:rsidR="00FD75F0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 xml:space="preserve">pecifikacijose nustatyto reikalavimo pažeidimą </w:t>
      </w:r>
      <w:r w:rsidR="004A6302">
        <w:rPr>
          <w:rFonts w:ascii="Times New Roman" w:hAnsi="Times New Roman" w:cs="Times New Roman"/>
        </w:rPr>
        <w:t xml:space="preserve">yra </w:t>
      </w:r>
      <w:r w:rsidRPr="00F17EFA">
        <w:rPr>
          <w:rFonts w:ascii="Times New Roman" w:hAnsi="Times New Roman" w:cs="Times New Roman"/>
        </w:rPr>
        <w:t xml:space="preserve">apibrėžti </w:t>
      </w:r>
      <w:r w:rsidRPr="00FA03A5">
        <w:rPr>
          <w:rFonts w:ascii="Times New Roman" w:hAnsi="Times New Roman" w:cs="Times New Roman"/>
        </w:rPr>
        <w:t xml:space="preserve">Specifikacijų </w:t>
      </w:r>
      <w:r w:rsidR="00FD75F0" w:rsidRPr="00FA03A5">
        <w:rPr>
          <w:rFonts w:ascii="Times New Roman" w:hAnsi="Times New Roman" w:cs="Times New Roman"/>
        </w:rPr>
        <w:t xml:space="preserve">1 </w:t>
      </w:r>
      <w:r w:rsidR="00EF130D" w:rsidRPr="00FA03A5">
        <w:rPr>
          <w:rFonts w:ascii="Times New Roman" w:hAnsi="Times New Roman" w:cs="Times New Roman"/>
        </w:rPr>
        <w:t>priede</w:t>
      </w:r>
      <w:r w:rsidRPr="00FA03A5">
        <w:rPr>
          <w:rFonts w:ascii="Times New Roman" w:hAnsi="Times New Roman" w:cs="Times New Roman"/>
        </w:rPr>
        <w:t>.</w:t>
      </w:r>
      <w:r w:rsidRPr="00F17EFA">
        <w:rPr>
          <w:rFonts w:ascii="Times New Roman" w:hAnsi="Times New Roman" w:cs="Times New Roman"/>
        </w:rPr>
        <w:t xml:space="preserve">  </w:t>
      </w:r>
    </w:p>
    <w:p w:rsidR="00192D14" w:rsidRPr="00F17EFA" w:rsidRDefault="001A01D5" w:rsidP="00192D14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PN</w:t>
      </w:r>
      <w:r w:rsidR="00192D14" w:rsidRPr="00F17EFA">
        <w:rPr>
          <w:rFonts w:ascii="Times New Roman" w:hAnsi="Times New Roman" w:cs="Times New Roman"/>
        </w:rPr>
        <w:t xml:space="preserve">PP skaičiuojami tik tuo atveju, kai </w:t>
      </w:r>
      <w:r w:rsidR="00B02EBC">
        <w:rPr>
          <w:rFonts w:ascii="Times New Roman" w:hAnsi="Times New Roman" w:cs="Times New Roman"/>
        </w:rPr>
        <w:t>Projekto bendrovė</w:t>
      </w:r>
      <w:r w:rsidR="00552AF7">
        <w:rPr>
          <w:rFonts w:ascii="Times New Roman" w:hAnsi="Times New Roman" w:cs="Times New Roman"/>
        </w:rPr>
        <w:t xml:space="preserve"> nesureaguoja ir/ar</w:t>
      </w:r>
      <w:r w:rsidR="00192D14" w:rsidRPr="00F17EFA">
        <w:rPr>
          <w:rFonts w:ascii="Times New Roman" w:hAnsi="Times New Roman" w:cs="Times New Roman"/>
        </w:rPr>
        <w:t xml:space="preserve"> neištaiso </w:t>
      </w:r>
      <w:r w:rsidRPr="00F17EFA">
        <w:rPr>
          <w:rFonts w:ascii="Times New Roman" w:hAnsi="Times New Roman" w:cs="Times New Roman"/>
        </w:rPr>
        <w:t xml:space="preserve">Paslaugų neprieinamumo </w:t>
      </w:r>
      <w:r w:rsidR="00192D14" w:rsidRPr="00F17EFA">
        <w:rPr>
          <w:rFonts w:ascii="Times New Roman" w:hAnsi="Times New Roman" w:cs="Times New Roman"/>
        </w:rPr>
        <w:t xml:space="preserve">pažeidimo per </w:t>
      </w:r>
      <w:r w:rsidR="00FD75F0">
        <w:rPr>
          <w:rFonts w:ascii="Times New Roman" w:hAnsi="Times New Roman" w:cs="Times New Roman"/>
        </w:rPr>
        <w:t>nustatytą terminą</w:t>
      </w:r>
      <w:r w:rsidR="00192D14" w:rsidRPr="00F17EFA">
        <w:rPr>
          <w:rFonts w:ascii="Times New Roman" w:hAnsi="Times New Roman" w:cs="Times New Roman"/>
        </w:rPr>
        <w:t>,</w:t>
      </w:r>
      <w:r w:rsidR="00FD75F0">
        <w:rPr>
          <w:rFonts w:ascii="Times New Roman" w:hAnsi="Times New Roman" w:cs="Times New Roman"/>
        </w:rPr>
        <w:t xml:space="preserve"> </w:t>
      </w:r>
      <w:r w:rsidR="00192D14" w:rsidRPr="00F17EFA">
        <w:rPr>
          <w:rFonts w:ascii="Times New Roman" w:hAnsi="Times New Roman" w:cs="Times New Roman"/>
        </w:rPr>
        <w:t>kur</w:t>
      </w:r>
      <w:r w:rsidR="00B34F2B">
        <w:rPr>
          <w:rFonts w:ascii="Times New Roman" w:hAnsi="Times New Roman" w:cs="Times New Roman"/>
        </w:rPr>
        <w:t>i</w:t>
      </w:r>
      <w:r w:rsidR="00FD75F0">
        <w:rPr>
          <w:rFonts w:ascii="Times New Roman" w:hAnsi="Times New Roman" w:cs="Times New Roman"/>
        </w:rPr>
        <w:t>s</w:t>
      </w:r>
      <w:r w:rsidR="00B34F2B">
        <w:rPr>
          <w:rFonts w:ascii="Times New Roman" w:hAnsi="Times New Roman" w:cs="Times New Roman"/>
        </w:rPr>
        <w:t xml:space="preserve"> yra</w:t>
      </w:r>
      <w:r w:rsidR="00192D14" w:rsidRPr="00F17EFA">
        <w:rPr>
          <w:rFonts w:ascii="Times New Roman" w:hAnsi="Times New Roman" w:cs="Times New Roman"/>
        </w:rPr>
        <w:t xml:space="preserve"> nurodom</w:t>
      </w:r>
      <w:r w:rsidR="00FD75F0">
        <w:rPr>
          <w:rFonts w:ascii="Times New Roman" w:hAnsi="Times New Roman" w:cs="Times New Roman"/>
        </w:rPr>
        <w:t>as</w:t>
      </w:r>
      <w:r w:rsidR="00192D14" w:rsidRPr="00F17EFA">
        <w:rPr>
          <w:rFonts w:ascii="Times New Roman" w:hAnsi="Times New Roman" w:cs="Times New Roman"/>
        </w:rPr>
        <w:t xml:space="preserve"> Specifikacijų </w:t>
      </w:r>
      <w:r w:rsidR="00FD75F0" w:rsidRPr="00867CA8">
        <w:rPr>
          <w:rFonts w:ascii="Times New Roman" w:hAnsi="Times New Roman" w:cs="Times New Roman"/>
        </w:rPr>
        <w:t>5.</w:t>
      </w:r>
      <w:r w:rsidR="008D4C25">
        <w:rPr>
          <w:rFonts w:ascii="Times New Roman" w:hAnsi="Times New Roman" w:cs="Times New Roman"/>
        </w:rPr>
        <w:t>16.5</w:t>
      </w:r>
      <w:r w:rsidR="00FD75F0" w:rsidRPr="00867CA8">
        <w:rPr>
          <w:rFonts w:ascii="Times New Roman" w:hAnsi="Times New Roman" w:cs="Times New Roman"/>
        </w:rPr>
        <w:t xml:space="preserve"> punkte “Reagavimo laikas ir (arba) ištaisymo laikotarpis bei galutinio taisymo laikotarpis“</w:t>
      </w:r>
      <w:r w:rsidR="00192D14" w:rsidRPr="00FD75F0">
        <w:rPr>
          <w:rFonts w:ascii="Times New Roman" w:hAnsi="Times New Roman" w:cs="Times New Roman"/>
        </w:rPr>
        <w:t>.</w:t>
      </w:r>
      <w:r w:rsidR="00192D14" w:rsidRPr="00F17EFA">
        <w:rPr>
          <w:rFonts w:ascii="Times New Roman" w:hAnsi="Times New Roman" w:cs="Times New Roman"/>
        </w:rPr>
        <w:t xml:space="preserve">  </w:t>
      </w:r>
    </w:p>
    <w:p w:rsidR="00192D14" w:rsidRPr="00F17EFA" w:rsidRDefault="00192D14" w:rsidP="00192D14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Jei </w:t>
      </w:r>
      <w:r w:rsidR="001A01D5" w:rsidRPr="00F17EFA">
        <w:rPr>
          <w:rFonts w:ascii="Times New Roman" w:hAnsi="Times New Roman" w:cs="Times New Roman"/>
        </w:rPr>
        <w:t>Paslaugų neprieinamumo</w:t>
      </w:r>
      <w:r w:rsidRPr="00F17EFA">
        <w:rPr>
          <w:rFonts w:ascii="Times New Roman" w:hAnsi="Times New Roman" w:cs="Times New Roman"/>
        </w:rPr>
        <w:t xml:space="preserve"> pažeidimas yra neištaisomas iki </w:t>
      </w:r>
      <w:r w:rsidR="001A01D5" w:rsidRPr="00F17EFA">
        <w:rPr>
          <w:rFonts w:ascii="Times New Roman" w:hAnsi="Times New Roman" w:cs="Times New Roman"/>
        </w:rPr>
        <w:t>Paslaugų neprieinamumo</w:t>
      </w:r>
      <w:r w:rsidRPr="00F17EFA">
        <w:rPr>
          <w:rFonts w:ascii="Times New Roman" w:hAnsi="Times New Roman" w:cs="Times New Roman"/>
        </w:rPr>
        <w:t xml:space="preserve"> pažeidimo </w:t>
      </w:r>
      <w:r w:rsidR="00FD75F0">
        <w:rPr>
          <w:rFonts w:ascii="Times New Roman" w:hAnsi="Times New Roman" w:cs="Times New Roman"/>
        </w:rPr>
        <w:t>g</w:t>
      </w:r>
      <w:r w:rsidR="00B34F2B">
        <w:rPr>
          <w:rFonts w:ascii="Times New Roman" w:hAnsi="Times New Roman" w:cs="Times New Roman"/>
        </w:rPr>
        <w:t>alutinio taisymo laikotarpio</w:t>
      </w:r>
      <w:r w:rsidRPr="00F17EFA">
        <w:rPr>
          <w:rFonts w:ascii="Times New Roman" w:hAnsi="Times New Roman" w:cs="Times New Roman"/>
        </w:rPr>
        <w:t xml:space="preserve"> pabaigos ir pasikartoja antrą (ar dar tolimesnį) kartą, </w:t>
      </w:r>
      <w:r w:rsidR="001A01D5" w:rsidRPr="00F17EFA">
        <w:rPr>
          <w:rFonts w:ascii="Times New Roman" w:hAnsi="Times New Roman" w:cs="Times New Roman"/>
        </w:rPr>
        <w:t>Paslaugų neprieinamumo</w:t>
      </w:r>
      <w:r w:rsidRPr="00F17EFA">
        <w:rPr>
          <w:rFonts w:ascii="Times New Roman" w:hAnsi="Times New Roman" w:cs="Times New Roman"/>
        </w:rPr>
        <w:t xml:space="preserve"> pažeidimo </w:t>
      </w:r>
      <w:r w:rsidR="00FD75F0">
        <w:rPr>
          <w:rFonts w:ascii="Times New Roman" w:hAnsi="Times New Roman" w:cs="Times New Roman"/>
        </w:rPr>
        <w:t>reagavimo laiko ir (arba) ištaisymo laikotarpiai ir galutinio taisymo laikotarpiai</w:t>
      </w:r>
      <w:r w:rsidR="00B34F2B" w:rsidRPr="00F17EFA">
        <w:rPr>
          <w:rFonts w:ascii="Times New Roman" w:hAnsi="Times New Roman" w:cs="Times New Roman"/>
        </w:rPr>
        <w:t xml:space="preserve"> </w:t>
      </w:r>
      <w:r w:rsidRPr="00F17EFA">
        <w:rPr>
          <w:rFonts w:ascii="Times New Roman" w:hAnsi="Times New Roman" w:cs="Times New Roman"/>
        </w:rPr>
        <w:t>tokiems pasikartojimams nėra taikom</w:t>
      </w:r>
      <w:r w:rsidR="00B34F2B">
        <w:rPr>
          <w:rFonts w:ascii="Times New Roman" w:hAnsi="Times New Roman" w:cs="Times New Roman"/>
        </w:rPr>
        <w:t>i</w:t>
      </w:r>
      <w:r w:rsidRPr="00F17EFA">
        <w:rPr>
          <w:rFonts w:ascii="Times New Roman" w:hAnsi="Times New Roman" w:cs="Times New Roman"/>
        </w:rPr>
        <w:t xml:space="preserve">, todėl </w:t>
      </w:r>
      <w:r w:rsidR="001A01D5" w:rsidRPr="00F17EFA">
        <w:rPr>
          <w:rFonts w:ascii="Times New Roman" w:hAnsi="Times New Roman" w:cs="Times New Roman"/>
        </w:rPr>
        <w:t>PN</w:t>
      </w:r>
      <w:r w:rsidRPr="00F17EFA">
        <w:rPr>
          <w:rFonts w:ascii="Times New Roman" w:hAnsi="Times New Roman" w:cs="Times New Roman"/>
        </w:rPr>
        <w:t xml:space="preserve">PP už kiekvieną pasikartojantį </w:t>
      </w:r>
      <w:r w:rsidR="001A01D5" w:rsidRPr="00F17EFA">
        <w:rPr>
          <w:rFonts w:ascii="Times New Roman" w:hAnsi="Times New Roman" w:cs="Times New Roman"/>
        </w:rPr>
        <w:t>Paslaugų neprieinamumo</w:t>
      </w:r>
      <w:r w:rsidRPr="00F17EFA">
        <w:rPr>
          <w:rFonts w:ascii="Times New Roman" w:hAnsi="Times New Roman" w:cs="Times New Roman"/>
        </w:rPr>
        <w:t xml:space="preserve"> pažeidimą yra sumuojami. </w:t>
      </w:r>
    </w:p>
    <w:p w:rsidR="00CA1BC9" w:rsidRPr="00F17EFA" w:rsidRDefault="00CA1BC9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Atsižvelgiant į </w:t>
      </w:r>
      <w:r w:rsidR="001A01D5" w:rsidRPr="00FA03A5">
        <w:rPr>
          <w:rFonts w:ascii="Times New Roman" w:hAnsi="Times New Roman" w:cs="Times New Roman"/>
        </w:rPr>
        <w:t xml:space="preserve">Specifikacijų </w:t>
      </w:r>
      <w:r w:rsidR="00FD75F0" w:rsidRPr="00FA03A5">
        <w:rPr>
          <w:rFonts w:ascii="Times New Roman" w:hAnsi="Times New Roman" w:cs="Times New Roman"/>
        </w:rPr>
        <w:t xml:space="preserve">1 </w:t>
      </w:r>
      <w:r w:rsidR="001A01D5" w:rsidRPr="00FA03A5">
        <w:rPr>
          <w:rFonts w:ascii="Times New Roman" w:hAnsi="Times New Roman" w:cs="Times New Roman"/>
        </w:rPr>
        <w:t xml:space="preserve">priede </w:t>
      </w:r>
      <w:r w:rsidR="001A01D5" w:rsidRPr="00F17EFA">
        <w:rPr>
          <w:rFonts w:ascii="Times New Roman" w:hAnsi="Times New Roman" w:cs="Times New Roman"/>
        </w:rPr>
        <w:t xml:space="preserve">pateikiamus Paslaugų neprieinamumo </w:t>
      </w:r>
      <w:r w:rsidRPr="00F17EFA">
        <w:rPr>
          <w:rFonts w:ascii="Times New Roman" w:hAnsi="Times New Roman" w:cs="Times New Roman"/>
        </w:rPr>
        <w:t xml:space="preserve">pažeidimo </w:t>
      </w:r>
      <w:r w:rsidR="001A01D5" w:rsidRPr="00F17EFA">
        <w:rPr>
          <w:rFonts w:ascii="Times New Roman" w:hAnsi="Times New Roman" w:cs="Times New Roman"/>
        </w:rPr>
        <w:t xml:space="preserve">taikymo principus, </w:t>
      </w:r>
      <w:r w:rsidR="00840269" w:rsidRPr="00F17EFA">
        <w:rPr>
          <w:rFonts w:ascii="Times New Roman" w:hAnsi="Times New Roman" w:cs="Times New Roman"/>
        </w:rPr>
        <w:t>PN</w:t>
      </w:r>
      <w:r w:rsidRPr="00F17EFA">
        <w:rPr>
          <w:rFonts w:ascii="Times New Roman" w:hAnsi="Times New Roman" w:cs="Times New Roman"/>
        </w:rPr>
        <w:t>PP yra apskaičiuojamas pagal formule:</w:t>
      </w:r>
    </w:p>
    <w:p w:rsidR="00CA1BC9" w:rsidRPr="00F17EFA" w:rsidRDefault="00840269" w:rsidP="00CA1BC9">
      <w:pPr>
        <w:jc w:val="center"/>
        <w:rPr>
          <w:rFonts w:ascii="Times New Roman" w:hAnsi="Times New Roman" w:cs="Times New Roman"/>
        </w:rPr>
      </w:pPr>
      <w:proofErr w:type="spellStart"/>
      <w:r w:rsidRPr="00F17EFA">
        <w:rPr>
          <w:rFonts w:ascii="Times New Roman" w:hAnsi="Times New Roman" w:cs="Times New Roman"/>
          <w:i/>
        </w:rPr>
        <w:t>PN</w:t>
      </w:r>
      <w:r w:rsidR="00CA1BC9" w:rsidRPr="00F17EFA">
        <w:rPr>
          <w:rFonts w:ascii="Times New Roman" w:hAnsi="Times New Roman" w:cs="Times New Roman"/>
          <w:i/>
        </w:rPr>
        <w:t>PP</w:t>
      </w:r>
      <w:r w:rsidR="00CA1BC9" w:rsidRPr="00F17EFA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="00CA1BC9" w:rsidRPr="00F17EFA">
        <w:rPr>
          <w:rFonts w:ascii="Times New Roman" w:hAnsi="Times New Roman" w:cs="Times New Roman"/>
          <w:i/>
        </w:rPr>
        <w:t xml:space="preserve"> = </w:t>
      </w:r>
      <w:proofErr w:type="spellStart"/>
      <w:r w:rsidR="00CA1BC9" w:rsidRPr="00F17EFA">
        <w:rPr>
          <w:rFonts w:ascii="Times New Roman" w:hAnsi="Times New Roman" w:cs="Times New Roman"/>
          <w:i/>
        </w:rPr>
        <w:t>k</w:t>
      </w:r>
      <w:r w:rsidR="00CA1BC9" w:rsidRPr="00F17EFA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="00CA1BC9" w:rsidRPr="00F17EFA">
        <w:rPr>
          <w:rFonts w:ascii="Times New Roman" w:hAnsi="Times New Roman" w:cs="Times New Roman"/>
          <w:i/>
        </w:rPr>
        <w:t xml:space="preserve"> x P0</w:t>
      </w:r>
      <w:r w:rsidR="00CA1BC9" w:rsidRPr="00F17EFA">
        <w:rPr>
          <w:rFonts w:ascii="Times New Roman" w:hAnsi="Times New Roman" w:cs="Times New Roman"/>
          <w:i/>
          <w:vertAlign w:val="subscript"/>
        </w:rPr>
        <w:t>n</w:t>
      </w:r>
      <w:r w:rsidR="00CA1BC9" w:rsidRPr="00F17EFA">
        <w:rPr>
          <w:rFonts w:ascii="Times New Roman" w:hAnsi="Times New Roman" w:cs="Times New Roman"/>
          <w:i/>
        </w:rPr>
        <w:t xml:space="preserve"> </w:t>
      </w:r>
      <w:r w:rsidR="00CA1BC9" w:rsidRPr="00F17EFA">
        <w:rPr>
          <w:rFonts w:ascii="Times New Roman" w:hAnsi="Times New Roman" w:cs="Times New Roman"/>
        </w:rPr>
        <w:t>(6)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CA1BC9" w:rsidRPr="00AB127A" w:rsidTr="005F595A">
        <w:tc>
          <w:tcPr>
            <w:tcW w:w="3369" w:type="dxa"/>
          </w:tcPr>
          <w:p w:rsidR="00CA1BC9" w:rsidRPr="00F17EFA" w:rsidRDefault="00CA1BC9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CA1BC9" w:rsidRPr="00F17EFA" w:rsidRDefault="0084026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  <w:vertAlign w:val="subscript"/>
              </w:rPr>
            </w:pPr>
            <w:proofErr w:type="spellStart"/>
            <w:r w:rsidRPr="00F17EFA">
              <w:rPr>
                <w:rFonts w:ascii="Times New Roman" w:hAnsi="Times New Roman" w:cs="Times New Roman"/>
                <w:i/>
              </w:rPr>
              <w:t>PN</w:t>
            </w:r>
            <w:r w:rsidR="00CA1BC9" w:rsidRPr="00F17EFA">
              <w:rPr>
                <w:rFonts w:ascii="Times New Roman" w:hAnsi="Times New Roman" w:cs="Times New Roman"/>
                <w:i/>
              </w:rPr>
              <w:t>PP</w:t>
            </w:r>
            <w:r w:rsidR="00CA1BC9"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proofErr w:type="spellEnd"/>
          </w:p>
          <w:p w:rsidR="00CA1BC9" w:rsidRPr="00F17EFA" w:rsidRDefault="00CA1BC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7EFA">
              <w:rPr>
                <w:rFonts w:ascii="Times New Roman" w:hAnsi="Times New Roman" w:cs="Times New Roman"/>
                <w:i/>
              </w:rPr>
              <w:t>k</w:t>
            </w:r>
            <w:r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proofErr w:type="spellEnd"/>
          </w:p>
          <w:p w:rsidR="00CA1BC9" w:rsidRPr="00F17EFA" w:rsidRDefault="00CA1BC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</w:p>
          <w:p w:rsidR="00CA1BC9" w:rsidRPr="00F17EFA" w:rsidRDefault="00CA1BC9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  <w:vertAlign w:val="subscript"/>
              </w:rPr>
            </w:pPr>
            <w:r w:rsidRPr="00F17EFA">
              <w:rPr>
                <w:rFonts w:ascii="Times New Roman" w:hAnsi="Times New Roman" w:cs="Times New Roman"/>
                <w:i/>
              </w:rPr>
              <w:t>P0</w:t>
            </w:r>
            <w:r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</w:p>
        </w:tc>
        <w:tc>
          <w:tcPr>
            <w:tcW w:w="6485" w:type="dxa"/>
          </w:tcPr>
          <w:p w:rsidR="00CA1BC9" w:rsidRPr="00F17EFA" w:rsidRDefault="00CA1BC9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CA1BC9" w:rsidRPr="00F17EFA" w:rsidRDefault="0084026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Paslaugų neprieinamumo </w:t>
            </w:r>
            <w:r w:rsidR="00CA1BC9" w:rsidRPr="00F17EFA">
              <w:rPr>
                <w:rFonts w:ascii="Times New Roman" w:hAnsi="Times New Roman" w:cs="Times New Roman"/>
              </w:rPr>
              <w:t>pažeidimo procent</w:t>
            </w:r>
            <w:r w:rsidR="001A01D5" w:rsidRPr="00F17EFA">
              <w:rPr>
                <w:rFonts w:ascii="Times New Roman" w:hAnsi="Times New Roman" w:cs="Times New Roman"/>
              </w:rPr>
              <w:t>inis punktas</w:t>
            </w:r>
          </w:p>
          <w:p w:rsidR="00CA1BC9" w:rsidRPr="00F17EFA" w:rsidRDefault="00CA1BC9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Taikomas koeficientas (pateikiama skaitinė išraiška) konkrečiam </w:t>
            </w:r>
            <w:r w:rsidR="00840269" w:rsidRPr="00F17EFA">
              <w:rPr>
                <w:rFonts w:ascii="Times New Roman" w:hAnsi="Times New Roman" w:cs="Times New Roman"/>
              </w:rPr>
              <w:t xml:space="preserve">Paslaugų neprieinamumo </w:t>
            </w:r>
            <w:r w:rsidRPr="00F17EFA">
              <w:rPr>
                <w:rFonts w:ascii="Times New Roman" w:hAnsi="Times New Roman" w:cs="Times New Roman"/>
              </w:rPr>
              <w:t>pažeidimui</w:t>
            </w:r>
          </w:p>
          <w:p w:rsidR="00CA1BC9" w:rsidRPr="00F17EFA" w:rsidRDefault="00CA1BC9" w:rsidP="001A01D5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Taikomas procent</w:t>
            </w:r>
            <w:r w:rsidR="001A01D5" w:rsidRPr="00F17EFA">
              <w:rPr>
                <w:rFonts w:ascii="Times New Roman" w:hAnsi="Times New Roman" w:cs="Times New Roman"/>
              </w:rPr>
              <w:t xml:space="preserve">inis dydis </w:t>
            </w:r>
            <w:r w:rsidRPr="00F17EFA">
              <w:rPr>
                <w:rFonts w:ascii="Times New Roman" w:hAnsi="Times New Roman" w:cs="Times New Roman"/>
              </w:rPr>
              <w:t xml:space="preserve">konkrečiam </w:t>
            </w:r>
            <w:r w:rsidR="00840269" w:rsidRPr="00F17EFA">
              <w:rPr>
                <w:rFonts w:ascii="Times New Roman" w:hAnsi="Times New Roman" w:cs="Times New Roman"/>
              </w:rPr>
              <w:t xml:space="preserve">Paslaugų neprieinamumo </w:t>
            </w:r>
            <w:r w:rsidRPr="00F17EFA">
              <w:rPr>
                <w:rFonts w:ascii="Times New Roman" w:hAnsi="Times New Roman" w:cs="Times New Roman"/>
              </w:rPr>
              <w:t>pažeidimui</w:t>
            </w:r>
          </w:p>
        </w:tc>
      </w:tr>
    </w:tbl>
    <w:p w:rsidR="00CA1BC9" w:rsidRPr="00F17EFA" w:rsidRDefault="00CA1BC9" w:rsidP="00CA1BC9">
      <w:pPr>
        <w:pStyle w:val="Sraopastraipa"/>
        <w:ind w:left="792"/>
        <w:rPr>
          <w:rFonts w:ascii="Times New Roman" w:hAnsi="Times New Roman" w:cs="Times New Roman"/>
        </w:rPr>
      </w:pPr>
    </w:p>
    <w:p w:rsidR="001A01D5" w:rsidRPr="00FD75F0" w:rsidRDefault="001A01D5" w:rsidP="001A01D5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Taikomas procentinis dydis [P0] konkrečiam Paslaugų neprieinamumo pažeidimui yra lygus </w:t>
      </w:r>
      <w:r w:rsidRPr="00FA03A5">
        <w:rPr>
          <w:rFonts w:ascii="Times New Roman" w:hAnsi="Times New Roman" w:cs="Times New Roman"/>
        </w:rPr>
        <w:t>0,01%.</w:t>
      </w:r>
    </w:p>
    <w:p w:rsidR="001A01D5" w:rsidRPr="00FD75F0" w:rsidRDefault="001A01D5" w:rsidP="001A01D5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Taikomas koeficientas [k] konkrečiam Paslaugų neprieinamumo pažeidimui nurodomas  </w:t>
      </w:r>
      <w:r w:rsidRPr="00FA03A5">
        <w:rPr>
          <w:rFonts w:ascii="Times New Roman" w:hAnsi="Times New Roman" w:cs="Times New Roman"/>
        </w:rPr>
        <w:t>Specifikacijų</w:t>
      </w:r>
      <w:r w:rsidRPr="00FD75F0">
        <w:rPr>
          <w:rFonts w:ascii="Times New Roman" w:hAnsi="Times New Roman" w:cs="Times New Roman"/>
        </w:rPr>
        <w:t xml:space="preserve"> </w:t>
      </w:r>
      <w:r w:rsidR="00FD75F0" w:rsidRPr="00FD75F0">
        <w:rPr>
          <w:rFonts w:ascii="Times New Roman" w:hAnsi="Times New Roman" w:cs="Times New Roman"/>
        </w:rPr>
        <w:t>1</w:t>
      </w:r>
      <w:r w:rsidRPr="00FA03A5">
        <w:rPr>
          <w:rFonts w:ascii="Times New Roman" w:hAnsi="Times New Roman" w:cs="Times New Roman"/>
        </w:rPr>
        <w:t>.</w:t>
      </w:r>
    </w:p>
    <w:p w:rsidR="005E5665" w:rsidRPr="00F17EFA" w:rsidRDefault="005E5665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lastRenderedPageBreak/>
        <w:t xml:space="preserve">PNPPK – tai koeficientas, kuriuo vadovaujantis, įvertinamas taikomų Paslaugų neprieinamumo pažeidimų procentų suma per atitinkamą ataskaitinį laikotarpį. PNPPK apskaičiuojamas pagal formule: </w:t>
      </w:r>
    </w:p>
    <w:p w:rsidR="006D6174" w:rsidRPr="00AB127A" w:rsidRDefault="005E5665">
      <w:pPr>
        <w:rPr>
          <w:rFonts w:ascii="Times New Roman" w:eastAsia="Times New Roman" w:hAnsi="Times New Roman" w:cs="Times New Roman"/>
          <w:b/>
          <w:iCs/>
          <w:smallCaps/>
          <w:color w:val="632423"/>
        </w:rPr>
      </w:pPr>
      <m:oMathPara>
        <m:oMath>
          <m:r>
            <w:rPr>
              <w:rFonts w:ascii="Cambria Math" w:hAnsi="Cambria Math" w:cs="Times New Roman"/>
            </w:rPr>
            <m:t xml:space="preserve">PNPPK=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PNPP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(7)</m:t>
          </m:r>
        </m:oMath>
      </m:oMathPara>
    </w:p>
    <w:p w:rsidR="006B3473" w:rsidRPr="00FA03A5" w:rsidRDefault="006B3473" w:rsidP="0060239F">
      <w:pPr>
        <w:pStyle w:val="Sraopastraipa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iCs/>
          <w:smallCaps/>
        </w:rPr>
      </w:pPr>
      <w:r w:rsidRPr="00FA03A5">
        <w:rPr>
          <w:rFonts w:ascii="Times New Roman" w:eastAsia="Times New Roman" w:hAnsi="Times New Roman" w:cs="Times New Roman"/>
          <w:b/>
          <w:iCs/>
          <w:smallCaps/>
        </w:rPr>
        <w:t xml:space="preserve">RENGINIO REŽIMO PAŽEIDIMŲ </w:t>
      </w:r>
      <w:r w:rsidR="001165E6" w:rsidRPr="00FA03A5">
        <w:rPr>
          <w:rFonts w:ascii="Times New Roman" w:eastAsia="Times New Roman" w:hAnsi="Times New Roman" w:cs="Times New Roman"/>
          <w:b/>
          <w:iCs/>
          <w:smallCaps/>
        </w:rPr>
        <w:t>IŠSKAIT</w:t>
      </w:r>
      <w:r w:rsidRPr="00FA03A5">
        <w:rPr>
          <w:rFonts w:ascii="Times New Roman" w:eastAsia="Times New Roman" w:hAnsi="Times New Roman" w:cs="Times New Roman"/>
          <w:b/>
          <w:iCs/>
          <w:smallCaps/>
        </w:rPr>
        <w:t>A (RRB)</w:t>
      </w:r>
    </w:p>
    <w:p w:rsidR="006B3473" w:rsidRPr="00F17EFA" w:rsidRDefault="006B3473" w:rsidP="006B3473">
      <w:pPr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 </w:t>
      </w:r>
    </w:p>
    <w:p w:rsidR="0024634E" w:rsidRPr="00F17EFA" w:rsidRDefault="0024634E" w:rsidP="002463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Už kiekvieną įvykusį</w:t>
      </w:r>
      <w:r w:rsidR="00FD75F0">
        <w:rPr>
          <w:rFonts w:ascii="Times New Roman" w:hAnsi="Times New Roman" w:cs="Times New Roman"/>
        </w:rPr>
        <w:t xml:space="preserve"> r</w:t>
      </w:r>
      <w:r w:rsidRPr="00F17EFA">
        <w:rPr>
          <w:rFonts w:ascii="Times New Roman" w:hAnsi="Times New Roman" w:cs="Times New Roman"/>
        </w:rPr>
        <w:t xml:space="preserve">enginio režimo pažeidimą yra skaičiuojami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>enginio režimo pažeidimo procentai [RRPP]. RRPP nustatyti Specifikacij</w:t>
      </w:r>
      <w:r w:rsidR="00FD75F0">
        <w:rPr>
          <w:rFonts w:ascii="Times New Roman" w:hAnsi="Times New Roman" w:cs="Times New Roman"/>
        </w:rPr>
        <w:t>ų 1 priede</w:t>
      </w:r>
      <w:r w:rsidRPr="00F17EFA">
        <w:rPr>
          <w:rFonts w:ascii="Times New Roman" w:hAnsi="Times New Roman" w:cs="Times New Roman"/>
        </w:rPr>
        <w:t xml:space="preserve"> prie konkretaus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 xml:space="preserve">enginio režimo pažeidimo. RRPP skaičiuojami tuo atveju, kai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 neįvykdo Specifikacijose nustatytų reikalavimų. Renginio režimo pažeidimai ir už  juos  skiriami RRPP skaičiuojami už tą </w:t>
      </w:r>
      <w:r w:rsidR="00FD75F0">
        <w:rPr>
          <w:rFonts w:ascii="Times New Roman" w:hAnsi="Times New Roman" w:cs="Times New Roman"/>
        </w:rPr>
        <w:t>a</w:t>
      </w:r>
      <w:r w:rsidRPr="00F17EFA">
        <w:rPr>
          <w:rFonts w:ascii="Times New Roman" w:hAnsi="Times New Roman" w:cs="Times New Roman"/>
        </w:rPr>
        <w:t>taskaitinį laikotarpį, kurio metu tokie pažeidimai yra užfiksuoti</w:t>
      </w:r>
      <w:r w:rsidR="00FD75F0">
        <w:rPr>
          <w:rFonts w:ascii="Times New Roman" w:hAnsi="Times New Roman" w:cs="Times New Roman"/>
        </w:rPr>
        <w:t>,</w:t>
      </w:r>
      <w:r w:rsidRPr="00F17EFA">
        <w:rPr>
          <w:rFonts w:ascii="Times New Roman" w:hAnsi="Times New Roman" w:cs="Times New Roman"/>
        </w:rPr>
        <w:t xml:space="preserve"> vadovaujantis Specifikacijomis ir </w:t>
      </w:r>
      <w:r w:rsidR="00FD75F0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 xml:space="preserve">utartimi, nesvarbu, kada tokie pažeidimai </w:t>
      </w:r>
      <w:r w:rsidR="00FD75F0">
        <w:rPr>
          <w:rFonts w:ascii="Times New Roman" w:hAnsi="Times New Roman" w:cs="Times New Roman"/>
        </w:rPr>
        <w:t>padaromi</w:t>
      </w:r>
      <w:r w:rsidRPr="00F17EFA">
        <w:rPr>
          <w:rFonts w:ascii="Times New Roman" w:hAnsi="Times New Roman" w:cs="Times New Roman"/>
        </w:rPr>
        <w:t xml:space="preserve">. </w:t>
      </w:r>
      <w:r w:rsidR="001D666F">
        <w:rPr>
          <w:rFonts w:ascii="Times New Roman" w:hAnsi="Times New Roman" w:cs="Times New Roman"/>
        </w:rPr>
        <w:t xml:space="preserve">RRB yra taikoma tik </w:t>
      </w:r>
      <w:r w:rsidR="00EF130D">
        <w:rPr>
          <w:rFonts w:ascii="Times New Roman" w:hAnsi="Times New Roman" w:cs="Times New Roman"/>
        </w:rPr>
        <w:t xml:space="preserve">Sutartyje numatytiems ir atskirais susitarimais su </w:t>
      </w:r>
      <w:r w:rsidR="00FD75F0">
        <w:rPr>
          <w:rFonts w:ascii="Times New Roman" w:hAnsi="Times New Roman" w:cs="Times New Roman"/>
        </w:rPr>
        <w:t>KKSD</w:t>
      </w:r>
      <w:r w:rsidR="00EF130D">
        <w:rPr>
          <w:rFonts w:ascii="Times New Roman" w:hAnsi="Times New Roman" w:cs="Times New Roman"/>
        </w:rPr>
        <w:t xml:space="preserve"> nustatytiems </w:t>
      </w:r>
      <w:r w:rsidR="001D666F">
        <w:rPr>
          <w:rFonts w:ascii="Times New Roman" w:hAnsi="Times New Roman" w:cs="Times New Roman"/>
        </w:rPr>
        <w:t xml:space="preserve">renginiams, ir jų atitinkamais laikotarpiais, kaip numatyta Sutartyje. </w:t>
      </w:r>
    </w:p>
    <w:p w:rsidR="0024634E" w:rsidRPr="00F17EFA" w:rsidRDefault="0024634E" w:rsidP="002463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RRB yra apskaičiuota konkreti suma, kurią privalo sumokėti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. </w:t>
      </w:r>
    </w:p>
    <w:p w:rsidR="006B3473" w:rsidRPr="00F17EFA" w:rsidRDefault="006B3473" w:rsidP="001A01D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RRB apskaičiuojama pagal formulę: </w:t>
      </w:r>
    </w:p>
    <w:p w:rsidR="006B3473" w:rsidRPr="00F17EFA" w:rsidRDefault="006B3473" w:rsidP="006B3473">
      <w:pPr>
        <w:jc w:val="center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  <w:i/>
        </w:rPr>
        <w:t>RRB</w:t>
      </w:r>
      <w:r w:rsidRPr="00F17EFA">
        <w:rPr>
          <w:rFonts w:ascii="Times New Roman" w:hAnsi="Times New Roman" w:cs="Times New Roman"/>
        </w:rPr>
        <w:t xml:space="preserve"> = </w:t>
      </w:r>
      <w:r w:rsidRPr="00F17EFA">
        <w:rPr>
          <w:rFonts w:ascii="Cambria Math" w:hAnsi="Cambria Math" w:cs="Cambria Math"/>
        </w:rPr>
        <w:t>𝐾𝑉𝑃</w:t>
      </w:r>
      <w:r w:rsidRPr="00F17EFA">
        <w:rPr>
          <w:rFonts w:ascii="Times New Roman" w:hAnsi="Times New Roman" w:cs="Times New Roman"/>
        </w:rPr>
        <w:t xml:space="preserve"> × </w:t>
      </w:r>
      <w:r w:rsidRPr="00F17EFA">
        <w:rPr>
          <w:rFonts w:ascii="Times New Roman" w:hAnsi="Times New Roman" w:cs="Times New Roman"/>
          <w:i/>
        </w:rPr>
        <w:t>RRPPK</w:t>
      </w:r>
      <w:r w:rsidRPr="00F17EFA">
        <w:rPr>
          <w:rFonts w:ascii="Times New Roman" w:hAnsi="Times New Roman" w:cs="Times New Roman"/>
        </w:rPr>
        <w:t xml:space="preserve"> (</w:t>
      </w:r>
      <w:r w:rsidR="00AB127A" w:rsidRPr="00F17EFA">
        <w:rPr>
          <w:rFonts w:ascii="Times New Roman" w:hAnsi="Times New Roman" w:cs="Times New Roman"/>
        </w:rPr>
        <w:t>8</w:t>
      </w:r>
      <w:r w:rsidR="006A40CE" w:rsidRPr="00F17EFA">
        <w:rPr>
          <w:rFonts w:ascii="Times New Roman" w:hAnsi="Times New Roman" w:cs="Times New Roman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6B3473" w:rsidRPr="00AB127A" w:rsidTr="006B3473">
        <w:tc>
          <w:tcPr>
            <w:tcW w:w="3369" w:type="dxa"/>
          </w:tcPr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RRB</w:t>
            </w:r>
          </w:p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KVP</w:t>
            </w:r>
          </w:p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RRPPK</w:t>
            </w:r>
          </w:p>
        </w:tc>
        <w:tc>
          <w:tcPr>
            <w:tcW w:w="6485" w:type="dxa"/>
          </w:tcPr>
          <w:p w:rsidR="006B3473" w:rsidRPr="00F17EFA" w:rsidRDefault="006B3473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6B3473" w:rsidRPr="00F17EFA" w:rsidRDefault="006B3473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Renginio režimo pažeidimų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>a</w:t>
            </w:r>
          </w:p>
          <w:p w:rsidR="006B3473" w:rsidRPr="00F17EFA" w:rsidRDefault="00B02EBC" w:rsidP="0056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bendrovės</w:t>
            </w:r>
            <w:r w:rsidR="006B3473" w:rsidRPr="00F17EFA">
              <w:rPr>
                <w:rFonts w:ascii="Times New Roman" w:hAnsi="Times New Roman" w:cs="Times New Roman"/>
              </w:rPr>
              <w:t xml:space="preserve"> pajamos, kaip numatyta šio dokumento 6 punkte</w:t>
            </w:r>
          </w:p>
          <w:p w:rsidR="006B3473" w:rsidRPr="00F17EFA" w:rsidRDefault="006B3473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Renginio režimo pažeidimo procentinis koeficientas </w:t>
            </w:r>
          </w:p>
        </w:tc>
      </w:tr>
    </w:tbl>
    <w:p w:rsidR="006B3473" w:rsidRPr="00F17EFA" w:rsidRDefault="006B3473" w:rsidP="006B3473">
      <w:pPr>
        <w:rPr>
          <w:rFonts w:ascii="Times New Roman" w:hAnsi="Times New Roman" w:cs="Times New Roman"/>
        </w:rPr>
      </w:pPr>
    </w:p>
    <w:p w:rsidR="006B3473" w:rsidRPr="00F17EFA" w:rsidRDefault="006B3473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RRB apskaičiavimo tvarka:</w:t>
      </w:r>
    </w:p>
    <w:p w:rsidR="007E7A2B" w:rsidRPr="00FD75F0" w:rsidRDefault="007E7A2B" w:rsidP="007E7A2B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Pirmiausia suskaičiuojama, kiek RRPP yra surinkta per atitinkamą </w:t>
      </w:r>
      <w:r w:rsidR="00FD75F0">
        <w:rPr>
          <w:rFonts w:ascii="Times New Roman" w:hAnsi="Times New Roman" w:cs="Times New Roman"/>
        </w:rPr>
        <w:t>a</w:t>
      </w:r>
      <w:r w:rsidRPr="00F17EFA">
        <w:rPr>
          <w:rFonts w:ascii="Times New Roman" w:hAnsi="Times New Roman" w:cs="Times New Roman"/>
        </w:rPr>
        <w:t xml:space="preserve">taskaitinį laikotarpį. RRPP už konkretų </w:t>
      </w:r>
      <w:r w:rsidR="00FD75F0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 xml:space="preserve">pecifikacijose nustatyto reikalavimo pažeidimą </w:t>
      </w:r>
      <w:r w:rsidR="004A6302">
        <w:rPr>
          <w:rFonts w:ascii="Times New Roman" w:hAnsi="Times New Roman" w:cs="Times New Roman"/>
        </w:rPr>
        <w:t xml:space="preserve">yra </w:t>
      </w:r>
      <w:r w:rsidRPr="00F17EFA">
        <w:rPr>
          <w:rFonts w:ascii="Times New Roman" w:hAnsi="Times New Roman" w:cs="Times New Roman"/>
        </w:rPr>
        <w:t xml:space="preserve">apibrėžti </w:t>
      </w:r>
      <w:r w:rsidRPr="00FA03A5">
        <w:rPr>
          <w:rFonts w:ascii="Times New Roman" w:hAnsi="Times New Roman" w:cs="Times New Roman"/>
        </w:rPr>
        <w:t xml:space="preserve">Specifikacijų </w:t>
      </w:r>
      <w:r w:rsidR="00FD75F0" w:rsidRPr="00FA03A5">
        <w:rPr>
          <w:rFonts w:ascii="Times New Roman" w:hAnsi="Times New Roman" w:cs="Times New Roman"/>
        </w:rPr>
        <w:t xml:space="preserve">1 </w:t>
      </w:r>
      <w:r w:rsidR="00EF130D" w:rsidRPr="00FA03A5">
        <w:rPr>
          <w:rFonts w:ascii="Times New Roman" w:hAnsi="Times New Roman" w:cs="Times New Roman"/>
        </w:rPr>
        <w:t>priede</w:t>
      </w:r>
      <w:r w:rsidRPr="00FD75F0">
        <w:rPr>
          <w:rFonts w:ascii="Times New Roman" w:hAnsi="Times New Roman" w:cs="Times New Roman"/>
        </w:rPr>
        <w:t xml:space="preserve">.  </w:t>
      </w:r>
    </w:p>
    <w:p w:rsidR="007E7A2B" w:rsidRPr="00F17EFA" w:rsidRDefault="007E7A2B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RRPP skaičiuojami tik tuo atveju, kai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 </w:t>
      </w:r>
      <w:r w:rsidR="004A6302">
        <w:rPr>
          <w:rFonts w:ascii="Times New Roman" w:hAnsi="Times New Roman" w:cs="Times New Roman"/>
        </w:rPr>
        <w:t>nesureaguoja ir/ar</w:t>
      </w:r>
      <w:r w:rsidR="004A6302" w:rsidRPr="00F17EFA">
        <w:rPr>
          <w:rFonts w:ascii="Times New Roman" w:hAnsi="Times New Roman" w:cs="Times New Roman"/>
        </w:rPr>
        <w:t xml:space="preserve"> </w:t>
      </w:r>
      <w:r w:rsidRPr="00F17EFA">
        <w:rPr>
          <w:rFonts w:ascii="Times New Roman" w:hAnsi="Times New Roman" w:cs="Times New Roman"/>
        </w:rPr>
        <w:t xml:space="preserve">neištaiso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 xml:space="preserve">enginio režimo pažeidimo per </w:t>
      </w:r>
      <w:r w:rsidR="00EF130D">
        <w:rPr>
          <w:rFonts w:ascii="Times New Roman" w:hAnsi="Times New Roman" w:cs="Times New Roman"/>
        </w:rPr>
        <w:t xml:space="preserve">nustatytą </w:t>
      </w:r>
      <w:r w:rsidR="00FD75F0">
        <w:rPr>
          <w:rFonts w:ascii="Times New Roman" w:hAnsi="Times New Roman" w:cs="Times New Roman"/>
        </w:rPr>
        <w:t>terminą</w:t>
      </w:r>
      <w:r w:rsidRPr="00F17EFA">
        <w:rPr>
          <w:rFonts w:ascii="Times New Roman" w:hAnsi="Times New Roman" w:cs="Times New Roman"/>
        </w:rPr>
        <w:t xml:space="preserve">, kuris nurodomas Specifikacijų </w:t>
      </w:r>
      <w:r w:rsidR="00FD75F0" w:rsidRPr="00867CA8">
        <w:rPr>
          <w:rFonts w:ascii="Times New Roman" w:hAnsi="Times New Roman" w:cs="Times New Roman"/>
        </w:rPr>
        <w:t>5.</w:t>
      </w:r>
      <w:r w:rsidR="008D4C25">
        <w:rPr>
          <w:rFonts w:ascii="Times New Roman" w:hAnsi="Times New Roman" w:cs="Times New Roman"/>
        </w:rPr>
        <w:t>16.5</w:t>
      </w:r>
      <w:r w:rsidR="00FD75F0" w:rsidRPr="00867CA8">
        <w:rPr>
          <w:rFonts w:ascii="Times New Roman" w:hAnsi="Times New Roman" w:cs="Times New Roman"/>
        </w:rPr>
        <w:t xml:space="preserve"> punkte “Reagavimo laikas ir (arba) ištaisymo laikotarpis bei galutinio taisymo laikotarpis“</w:t>
      </w:r>
      <w:r w:rsidRPr="00F17EFA">
        <w:rPr>
          <w:rFonts w:ascii="Times New Roman" w:hAnsi="Times New Roman" w:cs="Times New Roman"/>
        </w:rPr>
        <w:t>.</w:t>
      </w:r>
    </w:p>
    <w:p w:rsidR="007E7A2B" w:rsidRPr="00F17EFA" w:rsidRDefault="007E7A2B" w:rsidP="007E7A2B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Jei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 xml:space="preserve">enginio režimo pažeidimas yra neištaisomas iki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 xml:space="preserve">enginio režimo pažeidimo </w:t>
      </w:r>
      <w:r w:rsidR="00FD75F0">
        <w:rPr>
          <w:rFonts w:ascii="Times New Roman" w:hAnsi="Times New Roman" w:cs="Times New Roman"/>
        </w:rPr>
        <w:t>g</w:t>
      </w:r>
      <w:r w:rsidR="004A3AD0">
        <w:rPr>
          <w:rFonts w:ascii="Times New Roman" w:hAnsi="Times New Roman" w:cs="Times New Roman"/>
        </w:rPr>
        <w:t>alutinio taisymo laikotarpio</w:t>
      </w:r>
      <w:r w:rsidRPr="00F17EFA">
        <w:rPr>
          <w:rFonts w:ascii="Times New Roman" w:hAnsi="Times New Roman" w:cs="Times New Roman"/>
        </w:rPr>
        <w:t xml:space="preserve"> pabaigos ir pasikartoja antrą (ar dar tolimesnį) kartą,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>enginio režimo pažeidimo</w:t>
      </w:r>
      <w:r w:rsidR="00EF130D">
        <w:rPr>
          <w:rFonts w:ascii="Times New Roman" w:hAnsi="Times New Roman" w:cs="Times New Roman"/>
        </w:rPr>
        <w:t xml:space="preserve"> </w:t>
      </w:r>
      <w:r w:rsidR="00FD75F0">
        <w:rPr>
          <w:rFonts w:ascii="Times New Roman" w:hAnsi="Times New Roman" w:cs="Times New Roman"/>
        </w:rPr>
        <w:t xml:space="preserve">reagavimo laiko ir (arba) ištaisymo laikotarpiai ir galutinio taisymo laikotarpiai </w:t>
      </w:r>
      <w:r w:rsidR="004A3AD0" w:rsidRPr="00F17EFA" w:rsidDel="004A3AD0">
        <w:rPr>
          <w:rFonts w:ascii="Times New Roman" w:hAnsi="Times New Roman" w:cs="Times New Roman"/>
        </w:rPr>
        <w:t xml:space="preserve"> </w:t>
      </w:r>
      <w:r w:rsidRPr="00F17EFA">
        <w:rPr>
          <w:rFonts w:ascii="Times New Roman" w:hAnsi="Times New Roman" w:cs="Times New Roman"/>
        </w:rPr>
        <w:t>tokiems pasikartojimams nėra taikom</w:t>
      </w:r>
      <w:r w:rsidR="004A3AD0">
        <w:rPr>
          <w:rFonts w:ascii="Times New Roman" w:hAnsi="Times New Roman" w:cs="Times New Roman"/>
        </w:rPr>
        <w:t>i</w:t>
      </w:r>
      <w:r w:rsidRPr="00F17EFA">
        <w:rPr>
          <w:rFonts w:ascii="Times New Roman" w:hAnsi="Times New Roman" w:cs="Times New Roman"/>
        </w:rPr>
        <w:t xml:space="preserve">, todėl RRPP už kiekvieną pasikartojantį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>enginio režimo pažeidimą yra sumuojami.</w:t>
      </w:r>
    </w:p>
    <w:p w:rsidR="006B3473" w:rsidRPr="00F17EFA" w:rsidRDefault="006B3473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Atsižvelgiant į </w:t>
      </w:r>
      <w:r w:rsidR="007E7A2B" w:rsidRPr="00F17EFA">
        <w:rPr>
          <w:rFonts w:ascii="Times New Roman" w:hAnsi="Times New Roman" w:cs="Times New Roman"/>
        </w:rPr>
        <w:t xml:space="preserve">Specifikacijų </w:t>
      </w:r>
      <w:r w:rsidR="00FD75F0">
        <w:rPr>
          <w:rFonts w:ascii="Times New Roman" w:hAnsi="Times New Roman" w:cs="Times New Roman"/>
        </w:rPr>
        <w:t xml:space="preserve">1 </w:t>
      </w:r>
      <w:r w:rsidR="007E7A2B" w:rsidRPr="00F17EFA">
        <w:rPr>
          <w:rFonts w:ascii="Times New Roman" w:hAnsi="Times New Roman" w:cs="Times New Roman"/>
        </w:rPr>
        <w:t xml:space="preserve">priede pateikiamus </w:t>
      </w:r>
      <w:r w:rsidR="00FD75F0">
        <w:rPr>
          <w:rFonts w:ascii="Times New Roman" w:hAnsi="Times New Roman" w:cs="Times New Roman"/>
        </w:rPr>
        <w:t>r</w:t>
      </w:r>
      <w:r w:rsidR="007E7A2B" w:rsidRPr="00F17EFA">
        <w:rPr>
          <w:rFonts w:ascii="Times New Roman" w:hAnsi="Times New Roman" w:cs="Times New Roman"/>
        </w:rPr>
        <w:t xml:space="preserve">enginio režimo </w:t>
      </w:r>
      <w:r w:rsidRPr="00F17EFA">
        <w:rPr>
          <w:rFonts w:ascii="Times New Roman" w:hAnsi="Times New Roman" w:cs="Times New Roman"/>
        </w:rPr>
        <w:t xml:space="preserve">pažeidimo </w:t>
      </w:r>
      <w:r w:rsidR="007E7A2B" w:rsidRPr="00F17EFA">
        <w:rPr>
          <w:rFonts w:ascii="Times New Roman" w:hAnsi="Times New Roman" w:cs="Times New Roman"/>
        </w:rPr>
        <w:t>taikymo principus</w:t>
      </w:r>
      <w:r w:rsidRPr="00F17EFA">
        <w:rPr>
          <w:rFonts w:ascii="Times New Roman" w:hAnsi="Times New Roman" w:cs="Times New Roman"/>
        </w:rPr>
        <w:t xml:space="preserve">, </w:t>
      </w:r>
      <w:r w:rsidR="006A40CE" w:rsidRPr="00F17EFA">
        <w:rPr>
          <w:rFonts w:ascii="Times New Roman" w:hAnsi="Times New Roman" w:cs="Times New Roman"/>
        </w:rPr>
        <w:t>RR</w:t>
      </w:r>
      <w:r w:rsidRPr="00F17EFA">
        <w:rPr>
          <w:rFonts w:ascii="Times New Roman" w:hAnsi="Times New Roman" w:cs="Times New Roman"/>
        </w:rPr>
        <w:t>PP yra apskaičiuojamas  pagal formule:</w:t>
      </w:r>
    </w:p>
    <w:p w:rsidR="006B3473" w:rsidRPr="00F17EFA" w:rsidRDefault="006B3473" w:rsidP="006B3473">
      <w:pPr>
        <w:jc w:val="center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  </w:t>
      </w:r>
      <w:proofErr w:type="spellStart"/>
      <w:r w:rsidR="006A40CE" w:rsidRPr="00F17EFA">
        <w:rPr>
          <w:rFonts w:ascii="Times New Roman" w:hAnsi="Times New Roman" w:cs="Times New Roman"/>
          <w:i/>
        </w:rPr>
        <w:t>RR</w:t>
      </w:r>
      <w:r w:rsidRPr="00F17EFA">
        <w:rPr>
          <w:rFonts w:ascii="Times New Roman" w:hAnsi="Times New Roman" w:cs="Times New Roman"/>
          <w:i/>
        </w:rPr>
        <w:t>PP</w:t>
      </w:r>
      <w:r w:rsidRPr="00F17EFA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F17EFA">
        <w:rPr>
          <w:rFonts w:ascii="Times New Roman" w:hAnsi="Times New Roman" w:cs="Times New Roman"/>
          <w:i/>
        </w:rPr>
        <w:t xml:space="preserve"> = </w:t>
      </w:r>
      <w:proofErr w:type="spellStart"/>
      <w:r w:rsidRPr="00F17EFA">
        <w:rPr>
          <w:rFonts w:ascii="Times New Roman" w:hAnsi="Times New Roman" w:cs="Times New Roman"/>
          <w:i/>
        </w:rPr>
        <w:t>k</w:t>
      </w:r>
      <w:r w:rsidRPr="00F17EFA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F17EFA">
        <w:rPr>
          <w:rFonts w:ascii="Times New Roman" w:hAnsi="Times New Roman" w:cs="Times New Roman"/>
          <w:i/>
        </w:rPr>
        <w:t xml:space="preserve"> x P0</w:t>
      </w:r>
      <w:r w:rsidRPr="00F17EFA">
        <w:rPr>
          <w:rFonts w:ascii="Times New Roman" w:hAnsi="Times New Roman" w:cs="Times New Roman"/>
          <w:i/>
          <w:vertAlign w:val="subscript"/>
        </w:rPr>
        <w:t xml:space="preserve">n </w:t>
      </w:r>
      <w:r w:rsidR="006A40CE" w:rsidRPr="00F17EFA">
        <w:rPr>
          <w:rFonts w:ascii="Times New Roman" w:hAnsi="Times New Roman" w:cs="Times New Roman"/>
        </w:rPr>
        <w:t>(</w:t>
      </w:r>
      <w:r w:rsidR="00AB127A" w:rsidRPr="00F17EFA">
        <w:rPr>
          <w:rFonts w:ascii="Times New Roman" w:hAnsi="Times New Roman" w:cs="Times New Roman"/>
        </w:rPr>
        <w:t>9</w:t>
      </w:r>
      <w:r w:rsidRPr="00F17EFA">
        <w:rPr>
          <w:rFonts w:ascii="Times New Roman" w:hAnsi="Times New Roman" w:cs="Times New Roman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6B3473" w:rsidRPr="00AB127A" w:rsidTr="006B3473">
        <w:tc>
          <w:tcPr>
            <w:tcW w:w="3369" w:type="dxa"/>
          </w:tcPr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6B3473" w:rsidRPr="00F17EFA" w:rsidRDefault="006A40CE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  <w:vertAlign w:val="subscript"/>
              </w:rPr>
            </w:pPr>
            <w:proofErr w:type="spellStart"/>
            <w:r w:rsidRPr="00F17EFA">
              <w:rPr>
                <w:rFonts w:ascii="Times New Roman" w:hAnsi="Times New Roman" w:cs="Times New Roman"/>
                <w:i/>
              </w:rPr>
              <w:t>RR</w:t>
            </w:r>
            <w:r w:rsidR="006B3473" w:rsidRPr="00F17EFA">
              <w:rPr>
                <w:rFonts w:ascii="Times New Roman" w:hAnsi="Times New Roman" w:cs="Times New Roman"/>
                <w:i/>
              </w:rPr>
              <w:t>PP</w:t>
            </w:r>
            <w:r w:rsidR="006B3473"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proofErr w:type="spellEnd"/>
          </w:p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7EFA">
              <w:rPr>
                <w:rFonts w:ascii="Times New Roman" w:hAnsi="Times New Roman" w:cs="Times New Roman"/>
                <w:i/>
              </w:rPr>
              <w:t>k</w:t>
            </w:r>
            <w:r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proofErr w:type="spellEnd"/>
          </w:p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</w:p>
          <w:p w:rsidR="006B3473" w:rsidRPr="00F17EFA" w:rsidRDefault="006B3473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  <w:vertAlign w:val="subscript"/>
              </w:rPr>
            </w:pPr>
            <w:r w:rsidRPr="00F17EFA">
              <w:rPr>
                <w:rFonts w:ascii="Times New Roman" w:hAnsi="Times New Roman" w:cs="Times New Roman"/>
                <w:i/>
              </w:rPr>
              <w:t>P0</w:t>
            </w:r>
            <w:r w:rsidRPr="00F17EFA">
              <w:rPr>
                <w:rFonts w:ascii="Times New Roman" w:hAnsi="Times New Roman" w:cs="Times New Roman"/>
                <w:i/>
                <w:vertAlign w:val="subscript"/>
              </w:rPr>
              <w:t>n</w:t>
            </w:r>
          </w:p>
        </w:tc>
        <w:tc>
          <w:tcPr>
            <w:tcW w:w="6485" w:type="dxa"/>
          </w:tcPr>
          <w:p w:rsidR="006B3473" w:rsidRPr="00F17EFA" w:rsidRDefault="006B3473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6B3473" w:rsidRPr="00F17EFA" w:rsidRDefault="006A40CE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Renginio režimo </w:t>
            </w:r>
            <w:r w:rsidR="006B3473" w:rsidRPr="00F17EFA">
              <w:rPr>
                <w:rFonts w:ascii="Times New Roman" w:hAnsi="Times New Roman" w:cs="Times New Roman"/>
              </w:rPr>
              <w:t>pažeidimo procent</w:t>
            </w:r>
            <w:r w:rsidR="007E7A2B" w:rsidRPr="00F17EFA">
              <w:rPr>
                <w:rFonts w:ascii="Times New Roman" w:hAnsi="Times New Roman" w:cs="Times New Roman"/>
              </w:rPr>
              <w:t>inis punktas</w:t>
            </w:r>
          </w:p>
          <w:p w:rsidR="006B3473" w:rsidRPr="00F17EFA" w:rsidRDefault="006B3473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Taikomas koeficientas (pateikiama skaitinė išraiška) konkrečiam </w:t>
            </w:r>
            <w:r w:rsidR="006A40CE" w:rsidRPr="00F17EFA">
              <w:rPr>
                <w:rFonts w:ascii="Times New Roman" w:hAnsi="Times New Roman" w:cs="Times New Roman"/>
              </w:rPr>
              <w:t xml:space="preserve">Renginio režimo </w:t>
            </w:r>
            <w:r w:rsidRPr="00F17EFA">
              <w:rPr>
                <w:rFonts w:ascii="Times New Roman" w:hAnsi="Times New Roman" w:cs="Times New Roman"/>
              </w:rPr>
              <w:t>pažeidimui</w:t>
            </w:r>
          </w:p>
          <w:p w:rsidR="006B3473" w:rsidRPr="00F17EFA" w:rsidRDefault="006B3473" w:rsidP="00FD75F0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Taikomas procentas konkrečiam </w:t>
            </w:r>
            <w:r w:rsidR="00FD75F0">
              <w:rPr>
                <w:rFonts w:ascii="Times New Roman" w:hAnsi="Times New Roman" w:cs="Times New Roman"/>
              </w:rPr>
              <w:t>r</w:t>
            </w:r>
            <w:r w:rsidR="006A40CE" w:rsidRPr="00F17EFA">
              <w:rPr>
                <w:rFonts w:ascii="Times New Roman" w:hAnsi="Times New Roman" w:cs="Times New Roman"/>
              </w:rPr>
              <w:t xml:space="preserve">enginio režimo </w:t>
            </w:r>
            <w:r w:rsidRPr="00F17EFA">
              <w:rPr>
                <w:rFonts w:ascii="Times New Roman" w:hAnsi="Times New Roman" w:cs="Times New Roman"/>
              </w:rPr>
              <w:t>pažeidimui</w:t>
            </w:r>
          </w:p>
        </w:tc>
      </w:tr>
    </w:tbl>
    <w:p w:rsidR="006B3473" w:rsidRPr="00F17EFA" w:rsidRDefault="006B3473" w:rsidP="006B3473">
      <w:pPr>
        <w:pStyle w:val="Sraopastraipa"/>
        <w:ind w:left="792"/>
        <w:rPr>
          <w:rFonts w:ascii="Times New Roman" w:hAnsi="Times New Roman" w:cs="Times New Roman"/>
        </w:rPr>
      </w:pPr>
    </w:p>
    <w:p w:rsidR="007E7A2B" w:rsidRPr="00FD75F0" w:rsidRDefault="007E7A2B" w:rsidP="007E7A2B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Taikomas procentinis dydis [P0] konkrečiam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 xml:space="preserve">enginio režimo pažeidimui yra lygus </w:t>
      </w:r>
      <w:r w:rsidRPr="00FA03A5">
        <w:rPr>
          <w:rFonts w:ascii="Times New Roman" w:hAnsi="Times New Roman" w:cs="Times New Roman"/>
        </w:rPr>
        <w:t>0,01%.</w:t>
      </w:r>
    </w:p>
    <w:p w:rsidR="007E7A2B" w:rsidRPr="00FD75F0" w:rsidRDefault="007E7A2B" w:rsidP="007E7A2B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lastRenderedPageBreak/>
        <w:t xml:space="preserve">Taikomas koeficientas [k] konkrečiam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 xml:space="preserve">enginio režimui pažeidimui nurodomas Specifikacijų </w:t>
      </w:r>
      <w:r w:rsidR="00FD75F0">
        <w:rPr>
          <w:rFonts w:ascii="Times New Roman" w:hAnsi="Times New Roman" w:cs="Times New Roman"/>
        </w:rPr>
        <w:t>1</w:t>
      </w:r>
      <w:r w:rsidRPr="00F17EFA">
        <w:rPr>
          <w:rFonts w:ascii="Times New Roman" w:hAnsi="Times New Roman" w:cs="Times New Roman"/>
        </w:rPr>
        <w:t xml:space="preserve"> </w:t>
      </w:r>
      <w:r w:rsidRPr="00FA03A5">
        <w:rPr>
          <w:rFonts w:ascii="Times New Roman" w:hAnsi="Times New Roman" w:cs="Times New Roman"/>
        </w:rPr>
        <w:t>priede.</w:t>
      </w:r>
    </w:p>
    <w:p w:rsidR="006A40CE" w:rsidRPr="00F17EFA" w:rsidRDefault="006A40CE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RRPPK – tai koeficientas, kuriuo vadovaujantis, įvertinamas taikomų </w:t>
      </w:r>
      <w:r w:rsidR="00FD75F0">
        <w:rPr>
          <w:rFonts w:ascii="Times New Roman" w:hAnsi="Times New Roman" w:cs="Times New Roman"/>
        </w:rPr>
        <w:t>r</w:t>
      </w:r>
      <w:r w:rsidRPr="00F17EFA">
        <w:rPr>
          <w:rFonts w:ascii="Times New Roman" w:hAnsi="Times New Roman" w:cs="Times New Roman"/>
        </w:rPr>
        <w:t xml:space="preserve">enginio režimo trūkumų pažeidimų procentų suma per atitinkamą ataskaitinį laikotarpį. RRPPK apskaičiuojamas pagal formule: </w:t>
      </w:r>
    </w:p>
    <w:p w:rsidR="006A40CE" w:rsidRPr="00F17EFA" w:rsidRDefault="006A40CE" w:rsidP="006A40CE">
      <w:pPr>
        <w:ind w:left="360"/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RRPPK=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RRPP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(10)</m:t>
          </m:r>
        </m:oMath>
      </m:oMathPara>
    </w:p>
    <w:p w:rsidR="006D6174" w:rsidRPr="00AB127A" w:rsidRDefault="006D6174">
      <w:pPr>
        <w:rPr>
          <w:rFonts w:ascii="Times New Roman" w:eastAsia="Times New Roman" w:hAnsi="Times New Roman" w:cs="Times New Roman"/>
          <w:b/>
          <w:iCs/>
          <w:smallCaps/>
          <w:color w:val="632423"/>
        </w:rPr>
      </w:pPr>
    </w:p>
    <w:p w:rsidR="007352C0" w:rsidRPr="00FA03A5" w:rsidRDefault="00172345" w:rsidP="0060239F">
      <w:pPr>
        <w:pStyle w:val="Sraopastraipa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iCs/>
          <w:smallCaps/>
        </w:rPr>
      </w:pPr>
      <w:r w:rsidRPr="00FA03A5">
        <w:rPr>
          <w:rFonts w:ascii="Times New Roman" w:eastAsia="Times New Roman" w:hAnsi="Times New Roman" w:cs="Times New Roman"/>
          <w:b/>
          <w:iCs/>
          <w:smallCaps/>
        </w:rPr>
        <w:t>KAPITALINĖS PRIEŽIŪROS</w:t>
      </w:r>
      <w:r w:rsidR="00F71858" w:rsidRPr="00FA03A5">
        <w:rPr>
          <w:rFonts w:ascii="Times New Roman" w:eastAsia="Times New Roman" w:hAnsi="Times New Roman" w:cs="Times New Roman"/>
          <w:b/>
          <w:iCs/>
          <w:smallCaps/>
        </w:rPr>
        <w:t xml:space="preserve"> DARBŲ </w:t>
      </w:r>
      <w:r w:rsidR="007352C0" w:rsidRPr="00FA03A5">
        <w:rPr>
          <w:rFonts w:ascii="Times New Roman" w:eastAsia="Times New Roman" w:hAnsi="Times New Roman" w:cs="Times New Roman"/>
          <w:b/>
          <w:iCs/>
          <w:smallCaps/>
        </w:rPr>
        <w:t xml:space="preserve">PAŽEIDIMŲ </w:t>
      </w:r>
      <w:r w:rsidR="001165E6" w:rsidRPr="00FA03A5">
        <w:rPr>
          <w:rFonts w:ascii="Times New Roman" w:eastAsia="Times New Roman" w:hAnsi="Times New Roman" w:cs="Times New Roman"/>
          <w:b/>
          <w:iCs/>
          <w:smallCaps/>
        </w:rPr>
        <w:t>IŠSKAIT</w:t>
      </w:r>
      <w:r w:rsidR="007352C0" w:rsidRPr="00FA03A5">
        <w:rPr>
          <w:rFonts w:ascii="Times New Roman" w:eastAsia="Times New Roman" w:hAnsi="Times New Roman" w:cs="Times New Roman"/>
          <w:b/>
          <w:iCs/>
          <w:smallCaps/>
        </w:rPr>
        <w:t>A (</w:t>
      </w:r>
      <w:r w:rsidR="00F71858" w:rsidRPr="00FA03A5">
        <w:rPr>
          <w:rFonts w:ascii="Times New Roman" w:eastAsia="Times New Roman" w:hAnsi="Times New Roman" w:cs="Times New Roman"/>
          <w:b/>
          <w:iCs/>
          <w:smallCaps/>
        </w:rPr>
        <w:t>AN</w:t>
      </w:r>
      <w:r w:rsidR="007352C0" w:rsidRPr="00FA03A5">
        <w:rPr>
          <w:rFonts w:ascii="Times New Roman" w:eastAsia="Times New Roman" w:hAnsi="Times New Roman" w:cs="Times New Roman"/>
          <w:b/>
          <w:iCs/>
          <w:smallCaps/>
        </w:rPr>
        <w:t>B)</w:t>
      </w:r>
    </w:p>
    <w:p w:rsidR="007352C0" w:rsidRPr="00F17EFA" w:rsidRDefault="007352C0" w:rsidP="007352C0">
      <w:pPr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 </w:t>
      </w:r>
    </w:p>
    <w:p w:rsidR="00164780" w:rsidRPr="00F17EFA" w:rsidRDefault="00164780" w:rsidP="0016478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 xml:space="preserve">Už kiekvieną įvykusį </w:t>
      </w:r>
      <w:r w:rsidR="008D4C25">
        <w:rPr>
          <w:rFonts w:ascii="Times New Roman" w:hAnsi="Times New Roman" w:cs="Times New Roman"/>
        </w:rPr>
        <w:t>k</w:t>
      </w:r>
      <w:r w:rsidR="008D4C25" w:rsidRPr="00F17EFA">
        <w:rPr>
          <w:rFonts w:ascii="Times New Roman" w:hAnsi="Times New Roman" w:cs="Times New Roman"/>
        </w:rPr>
        <w:t xml:space="preserve">apitalinės </w:t>
      </w:r>
      <w:r w:rsidRPr="00F17EFA">
        <w:rPr>
          <w:rFonts w:ascii="Times New Roman" w:hAnsi="Times New Roman" w:cs="Times New Roman"/>
        </w:rPr>
        <w:t xml:space="preserve">priežiūros darbų pažeidimą yra skaičiuojama </w:t>
      </w:r>
      <w:r w:rsidR="00FD75F0">
        <w:rPr>
          <w:rFonts w:ascii="Times New Roman" w:hAnsi="Times New Roman" w:cs="Times New Roman"/>
        </w:rPr>
        <w:t>k</w:t>
      </w:r>
      <w:r w:rsidRPr="00F17EFA">
        <w:rPr>
          <w:rFonts w:ascii="Times New Roman" w:hAnsi="Times New Roman" w:cs="Times New Roman"/>
        </w:rPr>
        <w:t xml:space="preserve">apitalinės priežiūros darbų pažeidimo </w:t>
      </w:r>
      <w:r w:rsidR="001165E6">
        <w:rPr>
          <w:rFonts w:ascii="Times New Roman" w:hAnsi="Times New Roman" w:cs="Times New Roman"/>
        </w:rPr>
        <w:t>išskait</w:t>
      </w:r>
      <w:r w:rsidRPr="00F17EFA">
        <w:rPr>
          <w:rFonts w:ascii="Times New Roman" w:hAnsi="Times New Roman" w:cs="Times New Roman"/>
        </w:rPr>
        <w:t xml:space="preserve">a [ANB]. ANB skaičiuojamas tuo atveju, kai </w:t>
      </w:r>
      <w:r w:rsidR="00B02EBC">
        <w:rPr>
          <w:rFonts w:ascii="Times New Roman" w:hAnsi="Times New Roman" w:cs="Times New Roman"/>
        </w:rPr>
        <w:t>Projekto bendrovė</w:t>
      </w:r>
      <w:r w:rsidRPr="00F17EFA">
        <w:rPr>
          <w:rFonts w:ascii="Times New Roman" w:hAnsi="Times New Roman" w:cs="Times New Roman"/>
        </w:rPr>
        <w:t xml:space="preserve"> neįvykdo Specifikacijose nustatytų reikalavimų. Kapitalinės priežiūros darbų pažeidimo </w:t>
      </w:r>
      <w:r w:rsidR="001165E6">
        <w:rPr>
          <w:rFonts w:ascii="Times New Roman" w:hAnsi="Times New Roman" w:cs="Times New Roman"/>
        </w:rPr>
        <w:t>išskait</w:t>
      </w:r>
      <w:r w:rsidRPr="00F17EFA">
        <w:rPr>
          <w:rFonts w:ascii="Times New Roman" w:hAnsi="Times New Roman" w:cs="Times New Roman"/>
        </w:rPr>
        <w:t xml:space="preserve">a skaičiuojama už tą </w:t>
      </w:r>
      <w:r w:rsidR="00FD75F0">
        <w:rPr>
          <w:rFonts w:ascii="Times New Roman" w:hAnsi="Times New Roman" w:cs="Times New Roman"/>
        </w:rPr>
        <w:t>a</w:t>
      </w:r>
      <w:r w:rsidRPr="00F17EFA">
        <w:rPr>
          <w:rFonts w:ascii="Times New Roman" w:hAnsi="Times New Roman" w:cs="Times New Roman"/>
        </w:rPr>
        <w:t>taskaitinį laikotarpį, kurio metu tokie pažeidimai yra užfiksuoti</w:t>
      </w:r>
      <w:r w:rsidR="00FD75F0">
        <w:rPr>
          <w:rFonts w:ascii="Times New Roman" w:hAnsi="Times New Roman" w:cs="Times New Roman"/>
        </w:rPr>
        <w:t>,</w:t>
      </w:r>
      <w:r w:rsidRPr="00F17EFA">
        <w:rPr>
          <w:rFonts w:ascii="Times New Roman" w:hAnsi="Times New Roman" w:cs="Times New Roman"/>
        </w:rPr>
        <w:t xml:space="preserve"> vadovaujantis Specifikacijomis ir </w:t>
      </w:r>
      <w:r w:rsidR="00FD75F0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 xml:space="preserve">utartimi, nesvarbu, kada tokie pažeidimai </w:t>
      </w:r>
      <w:r w:rsidR="00FD75F0">
        <w:rPr>
          <w:rFonts w:ascii="Times New Roman" w:hAnsi="Times New Roman" w:cs="Times New Roman"/>
        </w:rPr>
        <w:t>padaryti</w:t>
      </w:r>
      <w:r w:rsidRPr="00F17EFA">
        <w:rPr>
          <w:rFonts w:ascii="Times New Roman" w:hAnsi="Times New Roman" w:cs="Times New Roman"/>
        </w:rPr>
        <w:t xml:space="preserve">.  </w:t>
      </w:r>
    </w:p>
    <w:p w:rsidR="007352C0" w:rsidRPr="00F17EFA" w:rsidRDefault="00F71858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AN</w:t>
      </w:r>
      <w:r w:rsidR="007352C0" w:rsidRPr="00F17EFA">
        <w:rPr>
          <w:rFonts w:ascii="Times New Roman" w:hAnsi="Times New Roman" w:cs="Times New Roman"/>
        </w:rPr>
        <w:t xml:space="preserve">B yra apskaičiuota konkreti suma, kurią privalo sumokėti </w:t>
      </w:r>
      <w:r w:rsidR="00B02EBC">
        <w:rPr>
          <w:rFonts w:ascii="Times New Roman" w:hAnsi="Times New Roman" w:cs="Times New Roman"/>
        </w:rPr>
        <w:t>Projekto bendrovė</w:t>
      </w:r>
      <w:r w:rsidR="007352C0" w:rsidRPr="00F17EFA">
        <w:rPr>
          <w:rFonts w:ascii="Times New Roman" w:hAnsi="Times New Roman" w:cs="Times New Roman"/>
        </w:rPr>
        <w:t xml:space="preserve">. </w:t>
      </w:r>
    </w:p>
    <w:p w:rsidR="007352C0" w:rsidRPr="00F17EFA" w:rsidRDefault="00F71858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AN</w:t>
      </w:r>
      <w:r w:rsidR="007352C0" w:rsidRPr="00F17EFA">
        <w:rPr>
          <w:rFonts w:ascii="Times New Roman" w:hAnsi="Times New Roman" w:cs="Times New Roman"/>
        </w:rPr>
        <w:t xml:space="preserve">B apskaičiuojama pagal formulę: </w:t>
      </w:r>
    </w:p>
    <w:p w:rsidR="007352C0" w:rsidRPr="00F17EFA" w:rsidRDefault="00F71858" w:rsidP="007352C0">
      <w:pPr>
        <w:jc w:val="center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  <w:i/>
        </w:rPr>
        <w:t>AN</w:t>
      </w:r>
      <w:r w:rsidR="007352C0" w:rsidRPr="00F17EFA">
        <w:rPr>
          <w:rFonts w:ascii="Times New Roman" w:hAnsi="Times New Roman" w:cs="Times New Roman"/>
          <w:i/>
        </w:rPr>
        <w:t>B</w:t>
      </w:r>
      <w:r w:rsidR="007352C0" w:rsidRPr="00F17EFA">
        <w:rPr>
          <w:rFonts w:ascii="Times New Roman" w:hAnsi="Times New Roman" w:cs="Times New Roman"/>
        </w:rPr>
        <w:t xml:space="preserve"> = </w:t>
      </w:r>
      <w:r w:rsidRPr="00F17EFA">
        <w:rPr>
          <w:rFonts w:ascii="Times New Roman" w:hAnsi="Times New Roman" w:cs="Times New Roman"/>
        </w:rPr>
        <w:t>10 %</w:t>
      </w:r>
      <w:r w:rsidR="007352C0" w:rsidRPr="00F17EFA">
        <w:rPr>
          <w:rFonts w:ascii="Times New Roman" w:hAnsi="Times New Roman" w:cs="Times New Roman"/>
        </w:rPr>
        <w:t xml:space="preserve"> × </w:t>
      </w:r>
      <w:r w:rsidRPr="00F17EFA">
        <w:rPr>
          <w:rFonts w:ascii="Times New Roman" w:hAnsi="Times New Roman" w:cs="Times New Roman"/>
        </w:rPr>
        <w:t>NDV</w:t>
      </w:r>
      <w:r w:rsidR="007352C0" w:rsidRPr="00F17EFA">
        <w:rPr>
          <w:rFonts w:ascii="Times New Roman" w:hAnsi="Times New Roman" w:cs="Times New Roman"/>
        </w:rPr>
        <w:t xml:space="preserve"> (</w:t>
      </w:r>
      <w:r w:rsidRPr="00F17EFA">
        <w:rPr>
          <w:rFonts w:ascii="Times New Roman" w:hAnsi="Times New Roman" w:cs="Times New Roman"/>
        </w:rPr>
        <w:t>1</w:t>
      </w:r>
      <w:r w:rsidR="00AB127A">
        <w:rPr>
          <w:rFonts w:ascii="Times New Roman" w:hAnsi="Times New Roman" w:cs="Times New Roman"/>
        </w:rPr>
        <w:t>1</w:t>
      </w:r>
      <w:r w:rsidR="007352C0" w:rsidRPr="00F17EFA">
        <w:rPr>
          <w:rFonts w:ascii="Times New Roman" w:hAnsi="Times New Roman" w:cs="Times New Roman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7352C0" w:rsidRPr="00AB127A" w:rsidTr="00297DD9">
        <w:tc>
          <w:tcPr>
            <w:tcW w:w="3369" w:type="dxa"/>
          </w:tcPr>
          <w:p w:rsidR="007352C0" w:rsidRPr="00F17EFA" w:rsidRDefault="007352C0" w:rsidP="00566A04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>kur:</w:t>
            </w:r>
          </w:p>
          <w:p w:rsidR="007352C0" w:rsidRPr="00F17EFA" w:rsidRDefault="00F71858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AN</w:t>
            </w:r>
            <w:r w:rsidR="007352C0" w:rsidRPr="00F17EFA">
              <w:rPr>
                <w:rFonts w:ascii="Times New Roman" w:hAnsi="Times New Roman" w:cs="Times New Roman"/>
                <w:i/>
              </w:rPr>
              <w:t>B</w:t>
            </w:r>
          </w:p>
          <w:p w:rsidR="007352C0" w:rsidRPr="00F17EFA" w:rsidRDefault="00F71858" w:rsidP="00566A04">
            <w:pPr>
              <w:ind w:firstLine="1418"/>
              <w:jc w:val="both"/>
              <w:rPr>
                <w:rFonts w:ascii="Times New Roman" w:hAnsi="Times New Roman" w:cs="Times New Roman"/>
                <w:i/>
              </w:rPr>
            </w:pPr>
            <w:r w:rsidRPr="00F17EFA">
              <w:rPr>
                <w:rFonts w:ascii="Times New Roman" w:hAnsi="Times New Roman" w:cs="Times New Roman"/>
                <w:i/>
              </w:rPr>
              <w:t>NDV</w:t>
            </w:r>
          </w:p>
        </w:tc>
        <w:tc>
          <w:tcPr>
            <w:tcW w:w="6485" w:type="dxa"/>
          </w:tcPr>
          <w:p w:rsidR="007352C0" w:rsidRPr="00F17EFA" w:rsidRDefault="007352C0" w:rsidP="00566A04">
            <w:pPr>
              <w:jc w:val="both"/>
              <w:rPr>
                <w:rFonts w:ascii="Times New Roman" w:hAnsi="Times New Roman" w:cs="Times New Roman"/>
              </w:rPr>
            </w:pPr>
          </w:p>
          <w:p w:rsidR="00164780" w:rsidRPr="00F17EFA" w:rsidRDefault="00164780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Kapitalinės priežiūros darbų pažeidimo </w:t>
            </w:r>
            <w:r w:rsidR="001165E6">
              <w:rPr>
                <w:rFonts w:ascii="Times New Roman" w:hAnsi="Times New Roman" w:cs="Times New Roman"/>
              </w:rPr>
              <w:t>išskait</w:t>
            </w:r>
            <w:r w:rsidRPr="00F17EFA">
              <w:rPr>
                <w:rFonts w:ascii="Times New Roman" w:hAnsi="Times New Roman" w:cs="Times New Roman"/>
              </w:rPr>
              <w:t xml:space="preserve">a </w:t>
            </w:r>
          </w:p>
          <w:p w:rsidR="007352C0" w:rsidRPr="00F17EFA" w:rsidRDefault="00F71858" w:rsidP="00566A04">
            <w:pPr>
              <w:jc w:val="both"/>
              <w:rPr>
                <w:rFonts w:ascii="Times New Roman" w:hAnsi="Times New Roman" w:cs="Times New Roman"/>
              </w:rPr>
            </w:pPr>
            <w:r w:rsidRPr="00F17EFA">
              <w:rPr>
                <w:rFonts w:ascii="Times New Roman" w:hAnsi="Times New Roman" w:cs="Times New Roman"/>
              </w:rPr>
              <w:t xml:space="preserve">Neatliktų </w:t>
            </w:r>
            <w:r w:rsidR="00172345" w:rsidRPr="00F17EFA">
              <w:rPr>
                <w:rFonts w:ascii="Times New Roman" w:hAnsi="Times New Roman" w:cs="Times New Roman"/>
              </w:rPr>
              <w:t xml:space="preserve">suplanuotų kapitalinės priežiūros ir atnaujinimo </w:t>
            </w:r>
            <w:r w:rsidRPr="00F17EFA">
              <w:rPr>
                <w:rFonts w:ascii="Times New Roman" w:hAnsi="Times New Roman" w:cs="Times New Roman"/>
              </w:rPr>
              <w:t>darbų vertė einamaisiais metais</w:t>
            </w:r>
          </w:p>
        </w:tc>
      </w:tr>
    </w:tbl>
    <w:p w:rsidR="007352C0" w:rsidRPr="00F17EFA" w:rsidRDefault="007352C0" w:rsidP="007352C0">
      <w:pPr>
        <w:rPr>
          <w:rFonts w:ascii="Times New Roman" w:hAnsi="Times New Roman" w:cs="Times New Roman"/>
        </w:rPr>
      </w:pPr>
    </w:p>
    <w:p w:rsidR="007352C0" w:rsidRPr="00F17EFA" w:rsidRDefault="00F71858" w:rsidP="00566A0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AN</w:t>
      </w:r>
      <w:r w:rsidR="007352C0" w:rsidRPr="00F17EFA">
        <w:rPr>
          <w:rFonts w:ascii="Times New Roman" w:hAnsi="Times New Roman" w:cs="Times New Roman"/>
        </w:rPr>
        <w:t>B apskaičiavimo tvarka:</w:t>
      </w:r>
    </w:p>
    <w:p w:rsidR="007352C0" w:rsidRPr="00F17EFA" w:rsidRDefault="00172345" w:rsidP="00357757">
      <w:pPr>
        <w:pStyle w:val="Sraopastraipa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F17EFA">
        <w:rPr>
          <w:rFonts w:ascii="Times New Roman" w:hAnsi="Times New Roman" w:cs="Times New Roman"/>
        </w:rPr>
        <w:t>Kapitalinių priežiūrų ir atnaujin</w:t>
      </w:r>
      <w:r w:rsidR="007E13C0" w:rsidRPr="00F17EFA">
        <w:rPr>
          <w:rFonts w:ascii="Times New Roman" w:hAnsi="Times New Roman" w:cs="Times New Roman"/>
        </w:rPr>
        <w:t>im</w:t>
      </w:r>
      <w:r w:rsidRPr="00F17EFA">
        <w:rPr>
          <w:rFonts w:ascii="Times New Roman" w:hAnsi="Times New Roman" w:cs="Times New Roman"/>
        </w:rPr>
        <w:t>o darbų planai</w:t>
      </w:r>
      <w:r w:rsidR="00164780" w:rsidRPr="00F17EFA">
        <w:rPr>
          <w:rFonts w:ascii="Times New Roman" w:hAnsi="Times New Roman" w:cs="Times New Roman"/>
        </w:rPr>
        <w:t>, įskaitant NDV,</w:t>
      </w:r>
      <w:r w:rsidRPr="00F17EFA">
        <w:rPr>
          <w:rFonts w:ascii="Times New Roman" w:hAnsi="Times New Roman" w:cs="Times New Roman"/>
        </w:rPr>
        <w:t xml:space="preserve"> yra paruošiami ir pateikiami Specifikacijo</w:t>
      </w:r>
      <w:r w:rsidR="00FD75F0">
        <w:rPr>
          <w:rFonts w:ascii="Times New Roman" w:hAnsi="Times New Roman" w:cs="Times New Roman"/>
        </w:rPr>
        <w:t>s</w:t>
      </w:r>
      <w:r w:rsidRPr="00F17EFA">
        <w:rPr>
          <w:rFonts w:ascii="Times New Roman" w:hAnsi="Times New Roman" w:cs="Times New Roman"/>
        </w:rPr>
        <w:t>e nustatyta tvarka.</w:t>
      </w:r>
    </w:p>
    <w:p w:rsidR="007352C0" w:rsidRPr="00F17EFA" w:rsidRDefault="00FD75F0" w:rsidP="00FA03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60239F" w:rsidRPr="00F17EFA" w:rsidRDefault="0060239F">
      <w:pPr>
        <w:rPr>
          <w:rFonts w:ascii="Times New Roman" w:hAnsi="Times New Roman" w:cs="Times New Roman"/>
        </w:rPr>
      </w:pPr>
    </w:p>
    <w:sectPr w:rsidR="0060239F" w:rsidRPr="00F17EFA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19" w:rsidRDefault="00E00019" w:rsidP="00BF0140">
      <w:pPr>
        <w:spacing w:after="0" w:line="240" w:lineRule="auto"/>
      </w:pPr>
      <w:r>
        <w:separator/>
      </w:r>
    </w:p>
  </w:endnote>
  <w:endnote w:type="continuationSeparator" w:id="0">
    <w:p w:rsidR="00E00019" w:rsidRDefault="00E00019" w:rsidP="00BF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8558"/>
      <w:docPartObj>
        <w:docPartGallery w:val="Page Numbers (Bottom of Page)"/>
        <w:docPartUnique/>
      </w:docPartObj>
    </w:sdtPr>
    <w:sdtEndPr/>
    <w:sdtContent>
      <w:p w:rsidR="00BF0140" w:rsidRDefault="00BF014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42">
          <w:rPr>
            <w:noProof/>
          </w:rPr>
          <w:t>4</w:t>
        </w:r>
        <w:r>
          <w:fldChar w:fldCharType="end"/>
        </w:r>
      </w:p>
    </w:sdtContent>
  </w:sdt>
  <w:p w:rsidR="00BF0140" w:rsidRDefault="00BF01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19" w:rsidRDefault="00E00019" w:rsidP="00BF0140">
      <w:pPr>
        <w:spacing w:after="0" w:line="240" w:lineRule="auto"/>
      </w:pPr>
      <w:r>
        <w:separator/>
      </w:r>
    </w:p>
  </w:footnote>
  <w:footnote w:type="continuationSeparator" w:id="0">
    <w:p w:rsidR="00E00019" w:rsidRDefault="00E00019" w:rsidP="00BF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2B3"/>
    <w:multiLevelType w:val="hybridMultilevel"/>
    <w:tmpl w:val="8DFA376E"/>
    <w:lvl w:ilvl="0" w:tplc="D25E1CC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3F2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E7080F"/>
    <w:multiLevelType w:val="hybridMultilevel"/>
    <w:tmpl w:val="C388C468"/>
    <w:lvl w:ilvl="0" w:tplc="6EA29D5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73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92594C"/>
    <w:multiLevelType w:val="hybridMultilevel"/>
    <w:tmpl w:val="2452E5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4E32"/>
    <w:multiLevelType w:val="hybridMultilevel"/>
    <w:tmpl w:val="F20C5300"/>
    <w:lvl w:ilvl="0" w:tplc="4AF2BB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655B"/>
    <w:multiLevelType w:val="multilevel"/>
    <w:tmpl w:val="30FCA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F81C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7225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AB09D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DB7E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67"/>
    <w:rsid w:val="0001537C"/>
    <w:rsid w:val="00021866"/>
    <w:rsid w:val="00025303"/>
    <w:rsid w:val="00043EEC"/>
    <w:rsid w:val="00060D71"/>
    <w:rsid w:val="00064A7B"/>
    <w:rsid w:val="000B0BC6"/>
    <w:rsid w:val="000C4E40"/>
    <w:rsid w:val="000D4ABD"/>
    <w:rsid w:val="000E4C1D"/>
    <w:rsid w:val="000F3728"/>
    <w:rsid w:val="00100E67"/>
    <w:rsid w:val="0010127E"/>
    <w:rsid w:val="001165E6"/>
    <w:rsid w:val="00120CA8"/>
    <w:rsid w:val="00155BAD"/>
    <w:rsid w:val="00156468"/>
    <w:rsid w:val="0016398E"/>
    <w:rsid w:val="00164780"/>
    <w:rsid w:val="001662A3"/>
    <w:rsid w:val="00172345"/>
    <w:rsid w:val="0017330F"/>
    <w:rsid w:val="00192D14"/>
    <w:rsid w:val="001964E1"/>
    <w:rsid w:val="00196D39"/>
    <w:rsid w:val="001A01D5"/>
    <w:rsid w:val="001A0BFE"/>
    <w:rsid w:val="001B7F32"/>
    <w:rsid w:val="001C3AF3"/>
    <w:rsid w:val="001C6C32"/>
    <w:rsid w:val="001D666F"/>
    <w:rsid w:val="00244BE3"/>
    <w:rsid w:val="0024634E"/>
    <w:rsid w:val="00271455"/>
    <w:rsid w:val="00286E32"/>
    <w:rsid w:val="00297DD9"/>
    <w:rsid w:val="002C2637"/>
    <w:rsid w:val="002E014D"/>
    <w:rsid w:val="002F1415"/>
    <w:rsid w:val="002F65A8"/>
    <w:rsid w:val="00307E59"/>
    <w:rsid w:val="00310167"/>
    <w:rsid w:val="00313EE9"/>
    <w:rsid w:val="00325576"/>
    <w:rsid w:val="00357757"/>
    <w:rsid w:val="003947A8"/>
    <w:rsid w:val="003A2478"/>
    <w:rsid w:val="003A7AD4"/>
    <w:rsid w:val="003C12D0"/>
    <w:rsid w:val="003E3823"/>
    <w:rsid w:val="003F0D00"/>
    <w:rsid w:val="003F6092"/>
    <w:rsid w:val="003F7608"/>
    <w:rsid w:val="00414E14"/>
    <w:rsid w:val="00421FFF"/>
    <w:rsid w:val="0043129E"/>
    <w:rsid w:val="00432E7B"/>
    <w:rsid w:val="00454EF6"/>
    <w:rsid w:val="00494BE0"/>
    <w:rsid w:val="00497336"/>
    <w:rsid w:val="004A3AD0"/>
    <w:rsid w:val="004A4057"/>
    <w:rsid w:val="004A6302"/>
    <w:rsid w:val="004A6CD8"/>
    <w:rsid w:val="004A75C3"/>
    <w:rsid w:val="004B52AE"/>
    <w:rsid w:val="004E229B"/>
    <w:rsid w:val="004F2F63"/>
    <w:rsid w:val="00502303"/>
    <w:rsid w:val="005124A4"/>
    <w:rsid w:val="005125FE"/>
    <w:rsid w:val="00522CCC"/>
    <w:rsid w:val="00527C7A"/>
    <w:rsid w:val="00530322"/>
    <w:rsid w:val="0053149C"/>
    <w:rsid w:val="00535E39"/>
    <w:rsid w:val="00550CF8"/>
    <w:rsid w:val="00552AF7"/>
    <w:rsid w:val="00555C54"/>
    <w:rsid w:val="005656CE"/>
    <w:rsid w:val="00566A04"/>
    <w:rsid w:val="005801EE"/>
    <w:rsid w:val="00597444"/>
    <w:rsid w:val="00597D92"/>
    <w:rsid w:val="00597EEF"/>
    <w:rsid w:val="005D349D"/>
    <w:rsid w:val="005E5665"/>
    <w:rsid w:val="005F595A"/>
    <w:rsid w:val="005F627B"/>
    <w:rsid w:val="0060239F"/>
    <w:rsid w:val="006059C5"/>
    <w:rsid w:val="00617100"/>
    <w:rsid w:val="00620561"/>
    <w:rsid w:val="0063568F"/>
    <w:rsid w:val="006423CE"/>
    <w:rsid w:val="00667F17"/>
    <w:rsid w:val="00672C38"/>
    <w:rsid w:val="00673410"/>
    <w:rsid w:val="0068195D"/>
    <w:rsid w:val="00685E86"/>
    <w:rsid w:val="00697C50"/>
    <w:rsid w:val="006A40CE"/>
    <w:rsid w:val="006B3473"/>
    <w:rsid w:val="006C4710"/>
    <w:rsid w:val="006D0011"/>
    <w:rsid w:val="006D6174"/>
    <w:rsid w:val="006F119F"/>
    <w:rsid w:val="00703E0E"/>
    <w:rsid w:val="007352C0"/>
    <w:rsid w:val="0075671F"/>
    <w:rsid w:val="00775BF0"/>
    <w:rsid w:val="007E13C0"/>
    <w:rsid w:val="007E23E3"/>
    <w:rsid w:val="007E5409"/>
    <w:rsid w:val="007E7A2B"/>
    <w:rsid w:val="007F62BB"/>
    <w:rsid w:val="00820087"/>
    <w:rsid w:val="0083543A"/>
    <w:rsid w:val="00840269"/>
    <w:rsid w:val="0084531D"/>
    <w:rsid w:val="00847335"/>
    <w:rsid w:val="00850FC3"/>
    <w:rsid w:val="00852414"/>
    <w:rsid w:val="00896A98"/>
    <w:rsid w:val="008B03F1"/>
    <w:rsid w:val="008B124B"/>
    <w:rsid w:val="008D4C25"/>
    <w:rsid w:val="00953362"/>
    <w:rsid w:val="0096140F"/>
    <w:rsid w:val="009657AE"/>
    <w:rsid w:val="009709EE"/>
    <w:rsid w:val="00983257"/>
    <w:rsid w:val="00996260"/>
    <w:rsid w:val="009B7220"/>
    <w:rsid w:val="009C07FC"/>
    <w:rsid w:val="009E43FB"/>
    <w:rsid w:val="00A029F5"/>
    <w:rsid w:val="00A13527"/>
    <w:rsid w:val="00A164D3"/>
    <w:rsid w:val="00A30F4F"/>
    <w:rsid w:val="00A31184"/>
    <w:rsid w:val="00A567B8"/>
    <w:rsid w:val="00A840D9"/>
    <w:rsid w:val="00A93B61"/>
    <w:rsid w:val="00AA6F2F"/>
    <w:rsid w:val="00AB127A"/>
    <w:rsid w:val="00AD145C"/>
    <w:rsid w:val="00AE292E"/>
    <w:rsid w:val="00AE7E7E"/>
    <w:rsid w:val="00B02EBC"/>
    <w:rsid w:val="00B0532C"/>
    <w:rsid w:val="00B16634"/>
    <w:rsid w:val="00B34F2B"/>
    <w:rsid w:val="00B9106C"/>
    <w:rsid w:val="00BC38BE"/>
    <w:rsid w:val="00BF0140"/>
    <w:rsid w:val="00BF6739"/>
    <w:rsid w:val="00C41603"/>
    <w:rsid w:val="00C42549"/>
    <w:rsid w:val="00C62C5B"/>
    <w:rsid w:val="00C718D2"/>
    <w:rsid w:val="00C8037B"/>
    <w:rsid w:val="00CA1BC9"/>
    <w:rsid w:val="00CD11DC"/>
    <w:rsid w:val="00CE148C"/>
    <w:rsid w:val="00CE54C2"/>
    <w:rsid w:val="00CF64D8"/>
    <w:rsid w:val="00CF6681"/>
    <w:rsid w:val="00D066DF"/>
    <w:rsid w:val="00D20096"/>
    <w:rsid w:val="00D20BE2"/>
    <w:rsid w:val="00D411E6"/>
    <w:rsid w:val="00D41A35"/>
    <w:rsid w:val="00D437DF"/>
    <w:rsid w:val="00D53151"/>
    <w:rsid w:val="00D660DC"/>
    <w:rsid w:val="00D76E56"/>
    <w:rsid w:val="00D828FC"/>
    <w:rsid w:val="00D94E9B"/>
    <w:rsid w:val="00DA1133"/>
    <w:rsid w:val="00DE7545"/>
    <w:rsid w:val="00E00019"/>
    <w:rsid w:val="00E161B3"/>
    <w:rsid w:val="00E33616"/>
    <w:rsid w:val="00E33BB9"/>
    <w:rsid w:val="00E35C02"/>
    <w:rsid w:val="00E43421"/>
    <w:rsid w:val="00E528BE"/>
    <w:rsid w:val="00E563C8"/>
    <w:rsid w:val="00E64B3D"/>
    <w:rsid w:val="00E84627"/>
    <w:rsid w:val="00E954BF"/>
    <w:rsid w:val="00ED7686"/>
    <w:rsid w:val="00EE5205"/>
    <w:rsid w:val="00EF130D"/>
    <w:rsid w:val="00F1587C"/>
    <w:rsid w:val="00F17EFA"/>
    <w:rsid w:val="00F25A93"/>
    <w:rsid w:val="00F6559A"/>
    <w:rsid w:val="00F71858"/>
    <w:rsid w:val="00F82280"/>
    <w:rsid w:val="00F84342"/>
    <w:rsid w:val="00FA03A5"/>
    <w:rsid w:val="00FD4AA1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rsid w:val="00B1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0E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3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9614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6140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6140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14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140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40F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D200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9"/>
    <w:rsid w:val="00B1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43129E"/>
    <w:rPr>
      <w:color w:val="808080"/>
    </w:rPr>
  </w:style>
  <w:style w:type="table" w:styleId="viesussraas1parykinimas">
    <w:name w:val="Light List Accent 1"/>
    <w:basedOn w:val="prastojilentel"/>
    <w:uiPriority w:val="61"/>
    <w:rsid w:val="001012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ntrat">
    <w:name w:val="caption"/>
    <w:basedOn w:val="prastasis"/>
    <w:next w:val="prastasis"/>
    <w:uiPriority w:val="35"/>
    <w:unhideWhenUsed/>
    <w:qFormat/>
    <w:rsid w:val="00BC38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urinys1">
    <w:name w:val="toc 1"/>
    <w:basedOn w:val="prastasis"/>
    <w:next w:val="prastasis"/>
    <w:autoRedefine/>
    <w:uiPriority w:val="39"/>
    <w:unhideWhenUsed/>
    <w:qFormat/>
    <w:rsid w:val="0060239F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60239F"/>
    <w:rPr>
      <w:color w:val="0000FF" w:themeColor="hyperlink"/>
      <w:u w:val="single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0239F"/>
    <w:pPr>
      <w:outlineLvl w:val="9"/>
    </w:pPr>
    <w:rPr>
      <w:lang w:val="en-US" w:eastAsia="ja-JP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qFormat/>
    <w:rsid w:val="0060239F"/>
    <w:pPr>
      <w:spacing w:after="100"/>
      <w:ind w:left="220"/>
    </w:pPr>
    <w:rPr>
      <w:rFonts w:eastAsiaTheme="minorEastAsia"/>
      <w:lang w:eastAsia="lt-LT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qFormat/>
    <w:rsid w:val="0060239F"/>
    <w:pPr>
      <w:spacing w:after="100"/>
      <w:ind w:left="440"/>
    </w:pPr>
    <w:rPr>
      <w:rFonts w:eastAsiaTheme="minorEastAsia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0140"/>
  </w:style>
  <w:style w:type="paragraph" w:styleId="Porat">
    <w:name w:val="footer"/>
    <w:basedOn w:val="prastasis"/>
    <w:link w:val="PoratDiagrama"/>
    <w:uiPriority w:val="99"/>
    <w:unhideWhenUsed/>
    <w:rsid w:val="00B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rsid w:val="00B1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0E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3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9614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6140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6140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140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140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40F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D200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9"/>
    <w:rsid w:val="00B1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43129E"/>
    <w:rPr>
      <w:color w:val="808080"/>
    </w:rPr>
  </w:style>
  <w:style w:type="table" w:styleId="viesussraas1parykinimas">
    <w:name w:val="Light List Accent 1"/>
    <w:basedOn w:val="prastojilentel"/>
    <w:uiPriority w:val="61"/>
    <w:rsid w:val="001012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ntrat">
    <w:name w:val="caption"/>
    <w:basedOn w:val="prastasis"/>
    <w:next w:val="prastasis"/>
    <w:uiPriority w:val="35"/>
    <w:unhideWhenUsed/>
    <w:qFormat/>
    <w:rsid w:val="00BC38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urinys1">
    <w:name w:val="toc 1"/>
    <w:basedOn w:val="prastasis"/>
    <w:next w:val="prastasis"/>
    <w:autoRedefine/>
    <w:uiPriority w:val="39"/>
    <w:unhideWhenUsed/>
    <w:qFormat/>
    <w:rsid w:val="0060239F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60239F"/>
    <w:rPr>
      <w:color w:val="0000FF" w:themeColor="hyperlink"/>
      <w:u w:val="single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0239F"/>
    <w:pPr>
      <w:outlineLvl w:val="9"/>
    </w:pPr>
    <w:rPr>
      <w:lang w:val="en-US" w:eastAsia="ja-JP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qFormat/>
    <w:rsid w:val="0060239F"/>
    <w:pPr>
      <w:spacing w:after="100"/>
      <w:ind w:left="220"/>
    </w:pPr>
    <w:rPr>
      <w:rFonts w:eastAsiaTheme="minorEastAsia"/>
      <w:lang w:eastAsia="lt-LT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qFormat/>
    <w:rsid w:val="0060239F"/>
    <w:pPr>
      <w:spacing w:after="100"/>
      <w:ind w:left="440"/>
    </w:pPr>
    <w:rPr>
      <w:rFonts w:eastAsiaTheme="minorEastAsia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0140"/>
  </w:style>
  <w:style w:type="paragraph" w:styleId="Porat">
    <w:name w:val="footer"/>
    <w:basedOn w:val="prastasis"/>
    <w:link w:val="PoratDiagrama"/>
    <w:uiPriority w:val="99"/>
    <w:unhideWhenUsed/>
    <w:rsid w:val="00BF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3D72-72A9-4B83-9F77-9542F132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7298</Words>
  <Characters>4160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2016-08-18T06:30:00Z</dcterms:created>
  <dcterms:modified xsi:type="dcterms:W3CDTF">2016-08-18T08:08:00Z</dcterms:modified>
</cp:coreProperties>
</file>